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7B81">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default" w:ascii="宋体" w:hAnsi="宋体" w:eastAsia="宋体" w:cs="宋体"/>
          <w:b/>
          <w:color w:val="auto"/>
          <w:spacing w:val="20"/>
          <w:sz w:val="52"/>
          <w:szCs w:val="52"/>
          <w:highlight w:val="none"/>
          <w:lang w:val="en-US" w:eastAsia="zh-CN"/>
        </w:rPr>
      </w:pPr>
    </w:p>
    <w:p w14:paraId="22C8F0E3">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江苏东能天然气管网有限公司</w:t>
      </w:r>
      <w:r>
        <w:rPr>
          <w:rFonts w:hint="eastAsia" w:ascii="宋体" w:hAnsi="宋体" w:eastAsia="宋体" w:cs="宋体"/>
          <w:b/>
          <w:color w:val="auto"/>
          <w:spacing w:val="20"/>
          <w:sz w:val="52"/>
          <w:szCs w:val="52"/>
          <w:highlight w:val="none"/>
        </w:rPr>
        <w:t xml:space="preserve">    </w:t>
      </w:r>
    </w:p>
    <w:p w14:paraId="233BCCAB">
      <w:pPr>
        <w:spacing w:line="1120" w:lineRule="exact"/>
        <w:jc w:val="both"/>
        <w:rPr>
          <w:rFonts w:hint="eastAsia" w:ascii="宋体" w:hAnsi="宋体" w:eastAsia="宋体" w:cs="宋体"/>
          <w:b/>
          <w:color w:val="auto"/>
          <w:sz w:val="52"/>
          <w:highlight w:val="none"/>
        </w:rPr>
      </w:pPr>
    </w:p>
    <w:p w14:paraId="3DB97BCD">
      <w:pPr>
        <w:pStyle w:val="4"/>
        <w:rPr>
          <w:rFonts w:hint="eastAsia" w:ascii="宋体" w:hAnsi="宋体" w:eastAsia="宋体" w:cs="宋体"/>
          <w:color w:val="auto"/>
          <w:highlight w:val="none"/>
        </w:rPr>
      </w:pPr>
    </w:p>
    <w:p w14:paraId="542745B9">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6E146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7CBC8117">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72CE0FF4">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4A3A7F2C">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（第</w:t>
      </w:r>
      <w:r>
        <w:rPr>
          <w:rFonts w:hint="eastAsia" w:ascii="宋体" w:hAnsi="宋体" w:cs="宋体"/>
          <w:b/>
          <w:color w:val="auto"/>
          <w:spacing w:val="20"/>
          <w:sz w:val="52"/>
          <w:szCs w:val="52"/>
          <w:highlight w:val="none"/>
          <w:lang w:val="en-US" w:eastAsia="zh-CN"/>
        </w:rPr>
        <w:t>三</w:t>
      </w:r>
      <w:r>
        <w:rPr>
          <w:rFonts w:hint="eastAsia" w:ascii="宋体" w:hAnsi="宋体" w:eastAsia="宋体" w:cs="宋体"/>
          <w:b/>
          <w:color w:val="auto"/>
          <w:spacing w:val="20"/>
          <w:sz w:val="52"/>
          <w:szCs w:val="52"/>
          <w:highlight w:val="none"/>
          <w:lang w:val="en-US" w:eastAsia="zh-CN"/>
        </w:rPr>
        <w:t>次）</w:t>
      </w:r>
    </w:p>
    <w:p w14:paraId="41721A0A">
      <w:pPr>
        <w:pStyle w:val="12"/>
        <w:rPr>
          <w:rFonts w:hint="eastAsia" w:ascii="宋体" w:hAnsi="宋体" w:eastAsia="宋体" w:cs="宋体"/>
          <w:color w:val="auto"/>
          <w:highlight w:val="none"/>
        </w:rPr>
      </w:pPr>
    </w:p>
    <w:p w14:paraId="671863A0">
      <w:pPr>
        <w:pStyle w:val="5"/>
        <w:rPr>
          <w:rFonts w:hint="eastAsia" w:ascii="宋体" w:hAnsi="宋体" w:eastAsia="宋体" w:cs="宋体"/>
          <w:color w:val="auto"/>
          <w:highlight w:val="none"/>
        </w:rPr>
      </w:pPr>
    </w:p>
    <w:p w14:paraId="6549DCD7">
      <w:pPr>
        <w:pStyle w:val="5"/>
        <w:rPr>
          <w:rFonts w:hint="eastAsia" w:ascii="宋体" w:hAnsi="宋体" w:eastAsia="宋体" w:cs="宋体"/>
          <w:color w:val="auto"/>
          <w:highlight w:val="none"/>
        </w:rPr>
      </w:pPr>
    </w:p>
    <w:p w14:paraId="774B090A">
      <w:pPr>
        <w:pStyle w:val="5"/>
        <w:rPr>
          <w:rFonts w:hint="eastAsia" w:ascii="宋体" w:hAnsi="宋体" w:eastAsia="宋体" w:cs="宋体"/>
          <w:color w:val="auto"/>
          <w:highlight w:val="none"/>
        </w:rPr>
      </w:pPr>
    </w:p>
    <w:p w14:paraId="13535B7F">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江苏东能天然气管网有限公司2024</w:t>
      </w:r>
      <w:r>
        <w:rPr>
          <w:rFonts w:hint="eastAsia" w:ascii="宋体" w:hAnsi="宋体" w:cs="宋体"/>
          <w:b/>
          <w:color w:val="auto"/>
          <w:sz w:val="30"/>
          <w:szCs w:val="30"/>
          <w:highlight w:val="none"/>
          <w:u w:val="single"/>
          <w:lang w:val="en-US" w:eastAsia="zh-CN"/>
        </w:rPr>
        <w:t>-2025</w:t>
      </w:r>
      <w:r>
        <w:rPr>
          <w:rFonts w:hint="eastAsia" w:ascii="宋体" w:hAnsi="宋体" w:cs="宋体"/>
          <w:b/>
          <w:color w:val="auto"/>
          <w:sz w:val="30"/>
          <w:szCs w:val="30"/>
          <w:highlight w:val="none"/>
          <w:u w:val="single"/>
          <w:lang w:eastAsia="zh-CN"/>
        </w:rPr>
        <w:t>年度</w:t>
      </w:r>
    </w:p>
    <w:p w14:paraId="6B01E618">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应急抢修项目</w:t>
      </w:r>
    </w:p>
    <w:p w14:paraId="5915868F">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江苏东能天然气管网有限公司</w:t>
      </w:r>
      <w:r>
        <w:rPr>
          <w:rFonts w:hint="eastAsia" w:ascii="宋体" w:hAnsi="宋体" w:eastAsia="宋体" w:cs="宋体"/>
          <w:b/>
          <w:color w:val="auto"/>
          <w:sz w:val="30"/>
          <w:szCs w:val="30"/>
          <w:highlight w:val="none"/>
          <w:u w:val="single"/>
          <w:lang w:val="en-US" w:eastAsia="zh-CN"/>
        </w:rPr>
        <w:t xml:space="preserve">       </w:t>
      </w:r>
    </w:p>
    <w:p w14:paraId="6C49AD1F">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4D96AE65">
      <w:pPr>
        <w:tabs>
          <w:tab w:val="left" w:pos="7050"/>
        </w:tabs>
        <w:spacing w:line="560" w:lineRule="exact"/>
        <w:rPr>
          <w:rFonts w:hint="eastAsia" w:ascii="宋体" w:hAnsi="宋体" w:eastAsia="宋体" w:cs="宋体"/>
          <w:b/>
          <w:color w:val="auto"/>
          <w:sz w:val="30"/>
          <w:szCs w:val="30"/>
          <w:highlight w:val="none"/>
        </w:rPr>
      </w:pPr>
    </w:p>
    <w:p w14:paraId="35631A75">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十二</w:t>
      </w:r>
      <w:r>
        <w:rPr>
          <w:rFonts w:hint="eastAsia" w:ascii="宋体" w:hAnsi="宋体" w:eastAsia="宋体" w:cs="宋体"/>
          <w:b/>
          <w:bCs/>
          <w:color w:val="auto"/>
          <w:sz w:val="30"/>
          <w:szCs w:val="30"/>
          <w:highlight w:val="none"/>
          <w:lang w:val="en-US" w:eastAsia="zh-CN"/>
        </w:rPr>
        <w:t>月</w:t>
      </w:r>
    </w:p>
    <w:p w14:paraId="2319E106">
      <w:pPr>
        <w:spacing w:line="540" w:lineRule="exact"/>
        <w:jc w:val="center"/>
        <w:rPr>
          <w:rFonts w:hint="eastAsia" w:ascii="宋体" w:hAnsi="宋体" w:eastAsia="宋体" w:cs="宋体"/>
          <w:b/>
          <w:bCs/>
          <w:color w:val="auto"/>
          <w:sz w:val="30"/>
          <w:szCs w:val="30"/>
          <w:highlight w:val="none"/>
        </w:rPr>
      </w:pPr>
    </w:p>
    <w:p w14:paraId="60406D73">
      <w:pPr>
        <w:spacing w:line="540" w:lineRule="exact"/>
        <w:jc w:val="center"/>
        <w:rPr>
          <w:rFonts w:hint="eastAsia" w:ascii="宋体" w:hAnsi="宋体" w:eastAsia="宋体" w:cs="宋体"/>
          <w:b/>
          <w:bCs/>
          <w:color w:val="auto"/>
          <w:sz w:val="30"/>
          <w:szCs w:val="30"/>
          <w:highlight w:val="none"/>
        </w:rPr>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pPr>
    </w:p>
    <w:p w14:paraId="5D9C1118">
      <w:pPr>
        <w:spacing w:line="540" w:lineRule="exact"/>
        <w:jc w:val="center"/>
        <w:rPr>
          <w:rFonts w:hint="eastAsia" w:ascii="宋体" w:hAnsi="宋体" w:eastAsia="宋体" w:cs="宋体"/>
          <w:b/>
          <w:bCs/>
          <w:color w:val="auto"/>
          <w:sz w:val="30"/>
          <w:szCs w:val="30"/>
          <w:highlight w:val="none"/>
        </w:rPr>
      </w:pPr>
    </w:p>
    <w:p w14:paraId="010ECEF3">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09588B30">
      <w:pPr>
        <w:pStyle w:val="4"/>
        <w:spacing w:line="560" w:lineRule="exact"/>
        <w:rPr>
          <w:rFonts w:hint="eastAsia" w:ascii="宋体" w:hAnsi="宋体" w:eastAsia="宋体" w:cs="宋体"/>
          <w:color w:val="auto"/>
          <w:sz w:val="30"/>
          <w:szCs w:val="30"/>
          <w:highlight w:val="none"/>
        </w:rPr>
      </w:pPr>
    </w:p>
    <w:p w14:paraId="64200EE0">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第一部分  询价采购公告…………………………………………</w:t>
      </w:r>
      <w:r>
        <w:rPr>
          <w:rFonts w:hint="eastAsia" w:ascii="宋体" w:hAnsi="宋体" w:cs="宋体"/>
          <w:color w:val="auto"/>
          <w:sz w:val="30"/>
          <w:szCs w:val="30"/>
          <w:highlight w:val="none"/>
          <w:lang w:val="en-US" w:eastAsia="zh-CN"/>
        </w:rPr>
        <w:t>3</w:t>
      </w:r>
    </w:p>
    <w:p w14:paraId="21EEB6C9">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6</w:t>
      </w:r>
    </w:p>
    <w:p w14:paraId="451644C2">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9</w:t>
      </w:r>
    </w:p>
    <w:p w14:paraId="665EEE4E">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3</w:t>
      </w:r>
    </w:p>
    <w:p w14:paraId="7F8CB1E6">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4</w:t>
      </w:r>
    </w:p>
    <w:p w14:paraId="58E9B4CC">
      <w:pPr>
        <w:pStyle w:val="4"/>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 xml:space="preserve">第六部分  </w:t>
      </w:r>
      <w:r>
        <w:rPr>
          <w:rFonts w:hint="eastAsia" w:ascii="宋体" w:hAnsi="宋体" w:cs="宋体"/>
          <w:b w:val="0"/>
          <w:bCs w:val="0"/>
          <w:color w:val="auto"/>
          <w:sz w:val="30"/>
          <w:szCs w:val="30"/>
          <w:highlight w:val="none"/>
          <w:lang w:val="en-US" w:eastAsia="zh-CN"/>
        </w:rPr>
        <w:t>合同协议书</w:t>
      </w:r>
      <w:r>
        <w:rPr>
          <w:rFonts w:hint="eastAsia" w:ascii="宋体" w:hAnsi="宋体" w:eastAsia="宋体" w:cs="宋体"/>
          <w:b w:val="0"/>
          <w:bCs w:val="0"/>
          <w:color w:val="auto"/>
          <w:sz w:val="30"/>
          <w:szCs w:val="30"/>
          <w:highlight w:val="none"/>
        </w:rPr>
        <w:t>……………………………………………</w:t>
      </w:r>
      <w:r>
        <w:rPr>
          <w:rFonts w:hint="eastAsia" w:ascii="宋体" w:hAnsi="宋体" w:cs="宋体"/>
          <w:b w:val="0"/>
          <w:bCs w:val="0"/>
          <w:color w:val="auto"/>
          <w:sz w:val="30"/>
          <w:szCs w:val="30"/>
          <w:highlight w:val="none"/>
          <w:lang w:val="en-US" w:eastAsia="zh-CN"/>
        </w:rPr>
        <w:t>21</w:t>
      </w:r>
    </w:p>
    <w:p w14:paraId="240842EB">
      <w:pPr>
        <w:pStyle w:val="4"/>
        <w:spacing w:line="920" w:lineRule="exact"/>
        <w:rPr>
          <w:rFonts w:hint="eastAsia" w:ascii="宋体" w:hAnsi="宋体" w:eastAsia="宋体" w:cs="宋体"/>
          <w:color w:val="auto"/>
          <w:sz w:val="30"/>
          <w:szCs w:val="30"/>
          <w:highlight w:val="none"/>
        </w:rPr>
      </w:pPr>
    </w:p>
    <w:p w14:paraId="50C33BCA">
      <w:pPr>
        <w:spacing w:line="500" w:lineRule="exact"/>
        <w:rPr>
          <w:rFonts w:hint="eastAsia" w:ascii="宋体" w:hAnsi="宋体" w:eastAsia="宋体" w:cs="宋体"/>
          <w:b/>
          <w:color w:val="auto"/>
          <w:sz w:val="30"/>
          <w:szCs w:val="30"/>
          <w:highlight w:val="none"/>
        </w:rPr>
      </w:pPr>
    </w:p>
    <w:p w14:paraId="607C9096">
      <w:pPr>
        <w:spacing w:line="500" w:lineRule="exact"/>
        <w:rPr>
          <w:rFonts w:hint="eastAsia" w:ascii="宋体" w:hAnsi="宋体" w:eastAsia="宋体" w:cs="宋体"/>
          <w:b/>
          <w:color w:val="auto"/>
          <w:sz w:val="30"/>
          <w:szCs w:val="30"/>
          <w:highlight w:val="none"/>
        </w:rPr>
      </w:pPr>
    </w:p>
    <w:p w14:paraId="49CC6BBB">
      <w:pPr>
        <w:spacing w:line="500" w:lineRule="exact"/>
        <w:ind w:firstLine="2409" w:firstLineChars="800"/>
        <w:rPr>
          <w:rFonts w:hint="eastAsia" w:ascii="宋体" w:hAnsi="宋体" w:eastAsia="宋体" w:cs="宋体"/>
          <w:b/>
          <w:color w:val="auto"/>
          <w:sz w:val="30"/>
          <w:szCs w:val="30"/>
          <w:highlight w:val="none"/>
        </w:rPr>
      </w:pPr>
    </w:p>
    <w:p w14:paraId="02919D58">
      <w:pPr>
        <w:spacing w:line="500" w:lineRule="exact"/>
        <w:ind w:firstLine="2409" w:firstLineChars="800"/>
        <w:rPr>
          <w:rFonts w:hint="eastAsia" w:ascii="宋体" w:hAnsi="宋体" w:eastAsia="宋体" w:cs="宋体"/>
          <w:b/>
          <w:color w:val="auto"/>
          <w:sz w:val="30"/>
          <w:szCs w:val="30"/>
          <w:highlight w:val="none"/>
        </w:rPr>
      </w:pPr>
    </w:p>
    <w:p w14:paraId="45B6EA8E">
      <w:pPr>
        <w:spacing w:line="500" w:lineRule="exact"/>
        <w:ind w:firstLine="2409" w:firstLineChars="800"/>
        <w:rPr>
          <w:rFonts w:hint="eastAsia" w:ascii="宋体" w:hAnsi="宋体" w:eastAsia="宋体" w:cs="宋体"/>
          <w:b/>
          <w:color w:val="auto"/>
          <w:sz w:val="30"/>
          <w:szCs w:val="30"/>
          <w:highlight w:val="none"/>
        </w:rPr>
      </w:pPr>
    </w:p>
    <w:p w14:paraId="3E41AA8B">
      <w:pPr>
        <w:pStyle w:val="12"/>
        <w:rPr>
          <w:rFonts w:hint="eastAsia" w:ascii="宋体" w:hAnsi="宋体" w:eastAsia="宋体" w:cs="宋体"/>
          <w:color w:val="auto"/>
          <w:highlight w:val="none"/>
        </w:rPr>
      </w:pPr>
    </w:p>
    <w:p w14:paraId="0012FC39">
      <w:pPr>
        <w:spacing w:line="500" w:lineRule="exact"/>
        <w:ind w:firstLine="2409" w:firstLineChars="800"/>
        <w:rPr>
          <w:rFonts w:hint="eastAsia" w:ascii="宋体" w:hAnsi="宋体" w:eastAsia="宋体" w:cs="宋体"/>
          <w:b/>
          <w:color w:val="auto"/>
          <w:sz w:val="30"/>
          <w:szCs w:val="30"/>
          <w:highlight w:val="none"/>
        </w:rPr>
      </w:pPr>
    </w:p>
    <w:p w14:paraId="33CDBDE0">
      <w:pPr>
        <w:spacing w:line="500" w:lineRule="exact"/>
        <w:ind w:firstLine="2409" w:firstLineChars="800"/>
        <w:rPr>
          <w:rFonts w:hint="eastAsia" w:ascii="宋体" w:hAnsi="宋体" w:eastAsia="宋体" w:cs="宋体"/>
          <w:b/>
          <w:color w:val="auto"/>
          <w:sz w:val="30"/>
          <w:szCs w:val="30"/>
          <w:highlight w:val="none"/>
        </w:rPr>
      </w:pPr>
    </w:p>
    <w:p w14:paraId="4ED43744">
      <w:pPr>
        <w:spacing w:line="500" w:lineRule="exact"/>
        <w:ind w:firstLine="2409" w:firstLineChars="800"/>
        <w:rPr>
          <w:rFonts w:hint="eastAsia" w:ascii="宋体" w:hAnsi="宋体" w:eastAsia="宋体" w:cs="宋体"/>
          <w:b/>
          <w:color w:val="auto"/>
          <w:sz w:val="30"/>
          <w:szCs w:val="30"/>
          <w:highlight w:val="none"/>
        </w:rPr>
      </w:pPr>
    </w:p>
    <w:p w14:paraId="20D43FEC">
      <w:pPr>
        <w:spacing w:line="500" w:lineRule="exact"/>
        <w:ind w:firstLine="2409" w:firstLineChars="800"/>
        <w:rPr>
          <w:rFonts w:hint="eastAsia" w:ascii="宋体" w:hAnsi="宋体" w:eastAsia="宋体" w:cs="宋体"/>
          <w:b/>
          <w:color w:val="auto"/>
          <w:sz w:val="30"/>
          <w:szCs w:val="30"/>
          <w:highlight w:val="none"/>
        </w:rPr>
      </w:pPr>
    </w:p>
    <w:p w14:paraId="3BB9C53B">
      <w:pPr>
        <w:spacing w:line="500" w:lineRule="exact"/>
        <w:ind w:firstLine="2409" w:firstLineChars="800"/>
        <w:rPr>
          <w:rFonts w:hint="eastAsia" w:ascii="宋体" w:hAnsi="宋体" w:eastAsia="宋体" w:cs="宋体"/>
          <w:b/>
          <w:color w:val="auto"/>
          <w:sz w:val="30"/>
          <w:szCs w:val="30"/>
          <w:highlight w:val="none"/>
        </w:rPr>
      </w:pPr>
    </w:p>
    <w:p w14:paraId="03DB6621">
      <w:pPr>
        <w:spacing w:line="420" w:lineRule="exact"/>
        <w:jc w:val="center"/>
        <w:rPr>
          <w:rFonts w:hint="eastAsia" w:ascii="宋体" w:hAnsi="宋体" w:eastAsia="宋体" w:cs="宋体"/>
          <w:b/>
          <w:bCs/>
          <w:color w:val="auto"/>
          <w:sz w:val="30"/>
          <w:szCs w:val="30"/>
          <w:highlight w:val="none"/>
        </w:rPr>
      </w:pPr>
    </w:p>
    <w:p w14:paraId="0B32317E">
      <w:pPr>
        <w:spacing w:line="420" w:lineRule="exact"/>
        <w:jc w:val="center"/>
        <w:rPr>
          <w:rFonts w:hint="eastAsia" w:ascii="宋体" w:hAnsi="宋体" w:eastAsia="宋体" w:cs="宋体"/>
          <w:b/>
          <w:bCs/>
          <w:color w:val="auto"/>
          <w:sz w:val="30"/>
          <w:szCs w:val="30"/>
          <w:highlight w:val="none"/>
        </w:rPr>
      </w:pPr>
    </w:p>
    <w:p w14:paraId="2EE69048">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第一部分 询价采购公告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158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3243A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608484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江苏东能天然气管网有限公司2024-2025年度应急抢修项目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12月26</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eastAsia="zh-CN"/>
              </w:rPr>
              <w:t>上</w:t>
            </w:r>
            <w:r>
              <w:rPr>
                <w:rFonts w:hint="eastAsia" w:ascii="宋体" w:hAnsi="宋体" w:eastAsia="宋体" w:cs="宋体"/>
                <w:b/>
                <w:color w:val="auto"/>
                <w:sz w:val="24"/>
                <w:szCs w:val="24"/>
                <w:highlight w:val="none"/>
              </w:rPr>
              <w:t>午</w:t>
            </w:r>
            <w:r>
              <w:rPr>
                <w:rFonts w:hint="eastAsia" w:ascii="宋体" w:hAnsi="宋体" w:cs="宋体"/>
                <w:b/>
                <w:color w:val="auto"/>
                <w:sz w:val="24"/>
                <w:szCs w:val="24"/>
                <w:highlight w:val="none"/>
                <w:lang w:val="en-US" w:eastAsia="zh-CN"/>
              </w:rPr>
              <w:t>9时00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14:paraId="7598120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45D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江苏东能天然气管网有限公司2024-2025年度应急抢修项目</w:t>
      </w:r>
    </w:p>
    <w:p w14:paraId="20F52C10">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12D64D4A">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eastAsia="宋体" w:cs="宋体"/>
          <w:b w:val="0"/>
          <w:bCs w:val="0"/>
          <w:color w:val="auto"/>
          <w:sz w:val="24"/>
          <w:szCs w:val="24"/>
          <w:highlight w:val="none"/>
        </w:rPr>
        <w:t>。</w:t>
      </w:r>
    </w:p>
    <w:p w14:paraId="402D9F6E">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54418F5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具体内容详见采购文件第二章。</w:t>
      </w:r>
    </w:p>
    <w:p w14:paraId="13CB9E2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合同签订之日起至2025年12月31日</w:t>
      </w:r>
      <w:r>
        <w:rPr>
          <w:rFonts w:hint="eastAsia" w:ascii="宋体" w:hAnsi="宋体" w:eastAsia="宋体" w:cs="宋体"/>
          <w:color w:val="auto"/>
          <w:sz w:val="24"/>
          <w:szCs w:val="24"/>
          <w:highlight w:val="none"/>
          <w:lang w:val="en-US" w:eastAsia="zh-CN"/>
        </w:rPr>
        <w:t xml:space="preserve">。                                        </w:t>
      </w:r>
    </w:p>
    <w:p w14:paraId="01E255E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0F469BA">
      <w:pPr>
        <w:pStyle w:val="12"/>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499C2C1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w:t>
      </w:r>
      <w:r>
        <w:rPr>
          <w:rFonts w:hint="eastAsia" w:ascii="宋体" w:hAnsi="宋体" w:cs="宋体"/>
          <w:color w:val="auto"/>
          <w:sz w:val="24"/>
          <w:szCs w:val="24"/>
          <w:highlight w:val="none"/>
          <w:lang w:val="en-US" w:eastAsia="zh-CN"/>
        </w:rPr>
        <w:t>有效的《特种设备安装改造修理许可证-压力管道》（含公用管道GB1级、长输管道GA2级及以上）</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14:paraId="22FE24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）拟派本项目</w:t>
      </w:r>
      <w:r>
        <w:rPr>
          <w:rFonts w:hint="eastAsia" w:ascii="宋体" w:hAnsi="宋体" w:cs="宋体"/>
          <w:color w:val="auto"/>
          <w:sz w:val="24"/>
          <w:szCs w:val="24"/>
          <w:highlight w:val="none"/>
          <w:lang w:eastAsia="zh-CN"/>
        </w:rPr>
        <w:t>项目组成员要求（以下要求须同时具备）：</w:t>
      </w:r>
    </w:p>
    <w:p w14:paraId="5758225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现场抢维修负责人：须具有管道工程高级工程师；</w:t>
      </w:r>
    </w:p>
    <w:p w14:paraId="24FD3E2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安全员</w:t>
      </w:r>
      <w:r>
        <w:rPr>
          <w:rFonts w:hint="eastAsia" w:ascii="宋体" w:hAnsi="宋体" w:cs="宋体"/>
          <w:color w:val="auto"/>
          <w:sz w:val="24"/>
          <w:szCs w:val="24"/>
          <w:highlight w:val="none"/>
          <w:lang w:val="en-US" w:eastAsia="zh-CN"/>
        </w:rPr>
        <w:t>1名：须具有安全员C证；</w:t>
      </w:r>
    </w:p>
    <w:p w14:paraId="0F31399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质检员</w:t>
      </w:r>
      <w:r>
        <w:rPr>
          <w:rFonts w:hint="eastAsia" w:ascii="宋体" w:hAnsi="宋体" w:cs="宋体"/>
          <w:color w:val="auto"/>
          <w:sz w:val="24"/>
          <w:szCs w:val="24"/>
          <w:highlight w:val="none"/>
          <w:lang w:val="en-US" w:eastAsia="zh-CN"/>
        </w:rPr>
        <w:t>1名：须具有质检员资格证；</w:t>
      </w:r>
    </w:p>
    <w:p w14:paraId="47D1F85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注：上述项目组成员，证件需与工作单位一致，确保人证合一；且中标单位须确保在本合同履行期间，拟派项目组所有成员的证书均在有效期内。</w:t>
      </w:r>
    </w:p>
    <w:p w14:paraId="5C250CB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cs="宋体"/>
          <w:color w:val="auto"/>
          <w:sz w:val="24"/>
          <w:szCs w:val="24"/>
          <w:highlight w:val="none"/>
          <w:lang w:val="en-US" w:eastAsia="zh-CN"/>
        </w:rPr>
        <w:t>（3）投标人须自2021年以来（时间以合同签订时间为准）承接过高压燃气管道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 xml:space="preserve">的；   </w:t>
      </w:r>
    </w:p>
    <w:p w14:paraId="71F9F7C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）人员场所位置要求：</w:t>
      </w:r>
      <w:r>
        <w:rPr>
          <w:rFonts w:hint="eastAsia" w:ascii="宋体" w:hAnsi="宋体" w:eastAsia="宋体" w:cs="宋体"/>
          <w:b w:val="0"/>
          <w:bCs w:val="0"/>
          <w:color w:val="auto"/>
          <w:sz w:val="24"/>
          <w:highlight w:val="none"/>
          <w:lang w:val="en-US" w:eastAsia="zh-CN"/>
        </w:rPr>
        <w:t>响应到达时间可满足先遣人员到达时间≤1.5小时，抢险人员与设备到达时间≤2小时。</w:t>
      </w:r>
    </w:p>
    <w:p w14:paraId="16E5535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14:paraId="25C21C24">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16B939B8">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12月20</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12月26</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4883F3E7">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14:paraId="4B617D7A">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74A40952">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06D1A1DD">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w:t>
      </w:r>
      <w:r>
        <w:rPr>
          <w:rFonts w:hint="eastAsia" w:ascii="宋体" w:hAnsi="宋体" w:cs="宋体"/>
          <w:b w:val="0"/>
          <w:bCs w:val="0"/>
          <w:color w:val="auto"/>
          <w:sz w:val="24"/>
          <w:szCs w:val="24"/>
          <w:highlight w:val="none"/>
          <w:u w:val="none"/>
        </w:rPr>
        <w:t>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12月26</w:t>
      </w:r>
      <w:r>
        <w:rPr>
          <w:rFonts w:hint="eastAsia" w:ascii="宋体" w:hAnsi="宋体" w:cs="宋体"/>
          <w:b w:val="0"/>
          <w:bCs w:val="0"/>
          <w:color w:val="auto"/>
          <w:sz w:val="24"/>
          <w:szCs w:val="24"/>
          <w:highlight w:val="none"/>
          <w:u w:val="none"/>
        </w:rPr>
        <w:t>日</w:t>
      </w:r>
      <w:r>
        <w:rPr>
          <w:rFonts w:hint="eastAsia" w:ascii="宋体" w:hAnsi="宋体" w:eastAsia="宋体" w:cs="宋体"/>
          <w:bCs/>
          <w:color w:val="auto"/>
          <w:kern w:val="0"/>
          <w:sz w:val="24"/>
          <w:szCs w:val="24"/>
          <w:highlight w:val="none"/>
        </w:rPr>
        <w:t>上午9时00分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14:paraId="60778357">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bookmarkStart w:id="0" w:name="_GoBack"/>
      <w:bookmarkEnd w:id="0"/>
    </w:p>
    <w:p w14:paraId="4E9144A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1F6AF021">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097C9E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4768AE8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w:t>
      </w:r>
      <w:r>
        <w:rPr>
          <w:rFonts w:hint="eastAsia" w:ascii="宋体"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中涉及投标保证金的事项，均按免收投标保证金执行</w:t>
      </w:r>
      <w:r>
        <w:rPr>
          <w:rFonts w:hint="eastAsia" w:ascii="宋体" w:hAnsi="宋体" w:eastAsia="宋体" w:cs="宋体"/>
          <w:color w:val="auto"/>
          <w:sz w:val="24"/>
          <w:szCs w:val="24"/>
          <w:highlight w:val="none"/>
        </w:rPr>
        <w:t>。</w:t>
      </w:r>
    </w:p>
    <w:p w14:paraId="79240D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2F2A62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236F11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其它部分的询问请向</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制作人或项目开标评标经办人提出；对在“电子交易平台”操作阶段的询问请向交易系统软件维护人员提出，联系方式：刘工，18036200288。</w:t>
      </w:r>
    </w:p>
    <w:p w14:paraId="76B439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DEC8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4A7C0BB3">
      <w:pPr>
        <w:pStyle w:val="18"/>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5BC3F99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2C4BE8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江苏东能天然气管网有限公司</w:t>
      </w:r>
    </w:p>
    <w:p w14:paraId="72953BA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23EEF5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E79C8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142F899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大洲设计咨询集团有限公司</w:t>
      </w:r>
    </w:p>
    <w:p w14:paraId="4CD0DC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01DB0B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18806271002</w:t>
      </w:r>
    </w:p>
    <w:p w14:paraId="3DA5A60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79FE8A1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w:t>
      </w:r>
      <w:r>
        <w:rPr>
          <w:rFonts w:hint="eastAsia" w:ascii="宋体" w:hAnsi="宋体" w:cs="宋体"/>
          <w:color w:val="auto"/>
          <w:sz w:val="24"/>
          <w:szCs w:val="24"/>
          <w:highlight w:val="none"/>
          <w:lang w:val="en-US" w:eastAsia="zh-CN"/>
        </w:rPr>
        <w:t>张海娟</w:t>
      </w:r>
    </w:p>
    <w:p w14:paraId="751ABB4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639DCC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812DD69">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764BC4CE">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4BEDD09D">
      <w:pPr>
        <w:pStyle w:val="19"/>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463BE7AF">
      <w:pPr>
        <w:pStyle w:val="12"/>
        <w:rPr>
          <w:rFonts w:hint="eastAsia"/>
          <w:color w:val="auto"/>
          <w:highlight w:val="none"/>
          <w:lang w:val="en-US" w:eastAsia="zh-CN"/>
        </w:rPr>
      </w:pPr>
    </w:p>
    <w:p w14:paraId="23A2EBAF">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49940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14:paraId="1A65D3D6">
      <w:pPr>
        <w:spacing w:line="42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江苏东能天然气管网有限公司2024-2025年度应急抢修项目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14:paraId="13486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2.项目概括</w:t>
      </w:r>
    </w:p>
    <w:p w14:paraId="390E3C8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我单位线路管道全长约79km，设计压力为4.0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476E097B">
      <w:pPr>
        <w:numPr>
          <w:ilvl w:val="0"/>
          <w:numId w:val="1"/>
        </w:numPr>
        <w:tabs>
          <w:tab w:val="left" w:pos="900"/>
          <w:tab w:val="clear" w:pos="312"/>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服务内容</w:t>
      </w:r>
    </w:p>
    <w:p w14:paraId="64F4B97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3.1当管道干线本身发生穿孔、爆管、变形等损伤事故时，为尽快恢复生产，在管道本体上实施的各类维护保驾、抢修作业。</w:t>
      </w:r>
    </w:p>
    <w:p w14:paraId="1F95AC25">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3.2由人为或自然灾害造成的崩塌、河岸边坡失稳等各种威胁管道设施安全运行的状况时，为确保管道安全而进行的各类应急抢险作业，以及对管道设施的修复抢修。</w:t>
      </w:r>
    </w:p>
    <w:p w14:paraId="2219BF2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3.3当输气站和阀室的设备、设施、装置等发生事故时，为尽快恢复生产而实施的各类抢险抢修作业。</w:t>
      </w:r>
    </w:p>
    <w:p w14:paraId="689ED5A6">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3.4完成上述维抢修工作内容所列工作量需要配备的抢（维）修设备和器具的日常维护保养。</w:t>
      </w:r>
    </w:p>
    <w:p w14:paraId="55270ECA">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3.5参加采购人每年至少一次的应急预案的演练，不定期和采购人进行抢（维）修技术交流。</w:t>
      </w:r>
    </w:p>
    <w:p w14:paraId="6CB221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最低设备配置要求</w:t>
      </w:r>
    </w:p>
    <w:tbl>
      <w:tblPr>
        <w:tblStyle w:val="1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2271"/>
        <w:gridCol w:w="3524"/>
      </w:tblGrid>
      <w:tr w14:paraId="7AD6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04321D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序号</w:t>
            </w:r>
          </w:p>
        </w:tc>
        <w:tc>
          <w:tcPr>
            <w:tcW w:w="2606" w:type="dxa"/>
          </w:tcPr>
          <w:p w14:paraId="51ADC1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机具、设备名称</w:t>
            </w:r>
          </w:p>
        </w:tc>
        <w:tc>
          <w:tcPr>
            <w:tcW w:w="2271" w:type="dxa"/>
          </w:tcPr>
          <w:p w14:paraId="17BF33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数量</w:t>
            </w:r>
          </w:p>
        </w:tc>
        <w:tc>
          <w:tcPr>
            <w:tcW w:w="3524" w:type="dxa"/>
          </w:tcPr>
          <w:p w14:paraId="3F5DA5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备注</w:t>
            </w:r>
          </w:p>
        </w:tc>
      </w:tr>
      <w:tr w14:paraId="4BFE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4B52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w:t>
            </w:r>
          </w:p>
        </w:tc>
        <w:tc>
          <w:tcPr>
            <w:tcW w:w="2606" w:type="dxa"/>
            <w:shd w:val="clear" w:color="auto" w:fill="auto"/>
            <w:vAlign w:val="bottom"/>
          </w:tcPr>
          <w:p w14:paraId="37BC22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抢维修车辆</w:t>
            </w:r>
          </w:p>
        </w:tc>
        <w:tc>
          <w:tcPr>
            <w:tcW w:w="2271" w:type="dxa"/>
            <w:shd w:val="clear" w:color="auto" w:fill="auto"/>
            <w:vAlign w:val="bottom"/>
          </w:tcPr>
          <w:p w14:paraId="7831B2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不少于1辆</w:t>
            </w:r>
          </w:p>
        </w:tc>
        <w:tc>
          <w:tcPr>
            <w:tcW w:w="3524" w:type="dxa"/>
            <w:shd w:val="clear" w:color="auto" w:fill="auto"/>
            <w:vAlign w:val="bottom"/>
          </w:tcPr>
          <w:p w14:paraId="14816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满足乘载抢维修人员要求</w:t>
            </w:r>
          </w:p>
        </w:tc>
      </w:tr>
      <w:tr w14:paraId="051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E56E9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2</w:t>
            </w:r>
          </w:p>
        </w:tc>
        <w:tc>
          <w:tcPr>
            <w:tcW w:w="2606" w:type="dxa"/>
            <w:shd w:val="clear" w:color="auto" w:fill="auto"/>
            <w:vAlign w:val="center"/>
          </w:tcPr>
          <w:p w14:paraId="67D3C2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电焊机</w:t>
            </w:r>
          </w:p>
        </w:tc>
        <w:tc>
          <w:tcPr>
            <w:tcW w:w="2271" w:type="dxa"/>
            <w:shd w:val="clear" w:color="auto" w:fill="auto"/>
            <w:vAlign w:val="center"/>
          </w:tcPr>
          <w:p w14:paraId="66ED79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不少于1台，具体按照应急抢修需求或采购人要求进行配备。</w:t>
            </w:r>
          </w:p>
        </w:tc>
        <w:tc>
          <w:tcPr>
            <w:tcW w:w="3524" w:type="dxa"/>
            <w:shd w:val="clear" w:color="auto" w:fill="auto"/>
            <w:vAlign w:val="center"/>
          </w:tcPr>
          <w:p w14:paraId="2E655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型号由投标人根据自身情况填写</w:t>
            </w:r>
          </w:p>
        </w:tc>
      </w:tr>
      <w:tr w14:paraId="0BA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tcPr>
          <w:p w14:paraId="1DE815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3</w:t>
            </w:r>
          </w:p>
        </w:tc>
        <w:tc>
          <w:tcPr>
            <w:tcW w:w="2606" w:type="dxa"/>
            <w:shd w:val="clear" w:color="auto" w:fill="auto"/>
            <w:vAlign w:val="bottom"/>
          </w:tcPr>
          <w:p w14:paraId="1BE6F0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发电机、配电箱</w:t>
            </w:r>
          </w:p>
        </w:tc>
        <w:tc>
          <w:tcPr>
            <w:tcW w:w="2271" w:type="dxa"/>
            <w:shd w:val="clear" w:color="auto" w:fill="auto"/>
            <w:vAlign w:val="bottom"/>
          </w:tcPr>
          <w:p w14:paraId="3E275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7DF164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功率、型号等由投标人根据自身情况填写</w:t>
            </w:r>
          </w:p>
        </w:tc>
      </w:tr>
      <w:tr w14:paraId="4F4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9E8FE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w:t>
            </w:r>
          </w:p>
        </w:tc>
        <w:tc>
          <w:tcPr>
            <w:tcW w:w="2606" w:type="dxa"/>
            <w:shd w:val="clear" w:color="auto" w:fill="auto"/>
            <w:vAlign w:val="bottom"/>
          </w:tcPr>
          <w:p w14:paraId="4B5C42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氧气、乙炔</w:t>
            </w:r>
          </w:p>
        </w:tc>
        <w:tc>
          <w:tcPr>
            <w:tcW w:w="2271" w:type="dxa"/>
            <w:shd w:val="clear" w:color="auto" w:fill="auto"/>
            <w:vAlign w:val="bottom"/>
          </w:tcPr>
          <w:p w14:paraId="3C5FF7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142F8D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03A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D2E1C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5</w:t>
            </w:r>
          </w:p>
        </w:tc>
        <w:tc>
          <w:tcPr>
            <w:tcW w:w="2606" w:type="dxa"/>
            <w:shd w:val="clear" w:color="auto" w:fill="auto"/>
            <w:vAlign w:val="bottom"/>
          </w:tcPr>
          <w:p w14:paraId="0CB217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切割、焊接材料</w:t>
            </w:r>
          </w:p>
        </w:tc>
        <w:tc>
          <w:tcPr>
            <w:tcW w:w="2271" w:type="dxa"/>
            <w:shd w:val="clear" w:color="auto" w:fill="auto"/>
            <w:vAlign w:val="bottom"/>
          </w:tcPr>
          <w:p w14:paraId="000ECE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3603E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如：气割机、角磨机、焊条、管、钳、电气焊工具等</w:t>
            </w:r>
          </w:p>
        </w:tc>
      </w:tr>
      <w:tr w14:paraId="6FD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7B6FD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6</w:t>
            </w:r>
          </w:p>
        </w:tc>
        <w:tc>
          <w:tcPr>
            <w:tcW w:w="2606" w:type="dxa"/>
            <w:shd w:val="clear" w:color="auto" w:fill="auto"/>
            <w:vAlign w:val="bottom"/>
          </w:tcPr>
          <w:p w14:paraId="0B9AD0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空压机、试压泵</w:t>
            </w:r>
          </w:p>
        </w:tc>
        <w:tc>
          <w:tcPr>
            <w:tcW w:w="2271" w:type="dxa"/>
            <w:shd w:val="clear" w:color="auto" w:fill="auto"/>
            <w:vAlign w:val="bottom"/>
          </w:tcPr>
          <w:p w14:paraId="31802E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33756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2AD2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41CC37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7</w:t>
            </w:r>
          </w:p>
        </w:tc>
        <w:tc>
          <w:tcPr>
            <w:tcW w:w="2606" w:type="dxa"/>
            <w:shd w:val="clear" w:color="auto" w:fill="auto"/>
            <w:vAlign w:val="bottom"/>
          </w:tcPr>
          <w:p w14:paraId="59A6B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管件对口器</w:t>
            </w:r>
          </w:p>
        </w:tc>
        <w:tc>
          <w:tcPr>
            <w:tcW w:w="2271" w:type="dxa"/>
            <w:shd w:val="clear" w:color="auto" w:fill="auto"/>
            <w:vAlign w:val="bottom"/>
          </w:tcPr>
          <w:p w14:paraId="3E454A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606C7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w:t>
            </w:r>
          </w:p>
        </w:tc>
      </w:tr>
      <w:tr w14:paraId="0FB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2F94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8</w:t>
            </w:r>
          </w:p>
        </w:tc>
        <w:tc>
          <w:tcPr>
            <w:tcW w:w="2606" w:type="dxa"/>
            <w:shd w:val="clear" w:color="auto" w:fill="auto"/>
            <w:vAlign w:val="bottom"/>
          </w:tcPr>
          <w:p w14:paraId="21B8F7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可燃气体检测仪</w:t>
            </w:r>
          </w:p>
        </w:tc>
        <w:tc>
          <w:tcPr>
            <w:tcW w:w="2271" w:type="dxa"/>
            <w:shd w:val="clear" w:color="auto" w:fill="auto"/>
            <w:vAlign w:val="bottom"/>
          </w:tcPr>
          <w:p w14:paraId="4B540E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F8D1D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可检测天然气浓度</w:t>
            </w:r>
          </w:p>
        </w:tc>
      </w:tr>
      <w:tr w14:paraId="3176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328A5E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9</w:t>
            </w:r>
          </w:p>
        </w:tc>
        <w:tc>
          <w:tcPr>
            <w:tcW w:w="2606" w:type="dxa"/>
            <w:shd w:val="clear" w:color="auto" w:fill="auto"/>
            <w:vAlign w:val="bottom"/>
          </w:tcPr>
          <w:p w14:paraId="4D4D23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测厚仪</w:t>
            </w:r>
          </w:p>
        </w:tc>
        <w:tc>
          <w:tcPr>
            <w:tcW w:w="2271" w:type="dxa"/>
            <w:shd w:val="clear" w:color="auto" w:fill="auto"/>
            <w:vAlign w:val="bottom"/>
          </w:tcPr>
          <w:p w14:paraId="4AB1D6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9928D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3194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6AE967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10</w:t>
            </w:r>
          </w:p>
        </w:tc>
        <w:tc>
          <w:tcPr>
            <w:tcW w:w="2606" w:type="dxa"/>
            <w:shd w:val="clear" w:color="auto" w:fill="auto"/>
            <w:vAlign w:val="bottom"/>
          </w:tcPr>
          <w:p w14:paraId="319576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作业工具</w:t>
            </w:r>
          </w:p>
        </w:tc>
        <w:tc>
          <w:tcPr>
            <w:tcW w:w="2271" w:type="dxa"/>
            <w:shd w:val="clear" w:color="auto" w:fill="auto"/>
            <w:vAlign w:val="bottom"/>
          </w:tcPr>
          <w:p w14:paraId="641B8A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88A2B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（含各类防爆工具如：防爆手电、防爆扳手、防爆灯箱等）</w:t>
            </w:r>
          </w:p>
        </w:tc>
      </w:tr>
      <w:tr w14:paraId="680D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3BE8F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11</w:t>
            </w:r>
          </w:p>
        </w:tc>
        <w:tc>
          <w:tcPr>
            <w:tcW w:w="2606" w:type="dxa"/>
            <w:shd w:val="clear" w:color="auto" w:fill="auto"/>
            <w:vAlign w:val="center"/>
          </w:tcPr>
          <w:p w14:paraId="08DA98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劳保用品</w:t>
            </w:r>
          </w:p>
        </w:tc>
        <w:tc>
          <w:tcPr>
            <w:tcW w:w="2271" w:type="dxa"/>
            <w:shd w:val="clear" w:color="auto" w:fill="auto"/>
            <w:vAlign w:val="bottom"/>
          </w:tcPr>
          <w:p w14:paraId="6696A1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若干，具体按照应急抢修需求或采购人要求进行配备。</w:t>
            </w:r>
          </w:p>
        </w:tc>
        <w:tc>
          <w:tcPr>
            <w:tcW w:w="3524" w:type="dxa"/>
            <w:shd w:val="clear" w:color="auto" w:fill="auto"/>
            <w:vAlign w:val="bottom"/>
          </w:tcPr>
          <w:p w14:paraId="78AEE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727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1C326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12</w:t>
            </w:r>
          </w:p>
        </w:tc>
        <w:tc>
          <w:tcPr>
            <w:tcW w:w="2606" w:type="dxa"/>
            <w:shd w:val="clear" w:color="auto" w:fill="auto"/>
            <w:vAlign w:val="center"/>
          </w:tcPr>
          <w:p w14:paraId="4EDF27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备用管件</w:t>
            </w:r>
          </w:p>
        </w:tc>
        <w:tc>
          <w:tcPr>
            <w:tcW w:w="2271" w:type="dxa"/>
            <w:shd w:val="clear" w:color="auto" w:fill="auto"/>
            <w:vAlign w:val="bottom"/>
          </w:tcPr>
          <w:p w14:paraId="4A48D7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1C07D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（∮406.4、∮323.9、∮219）*7.1/8.0/9.5/11.9等管材,长度满足应急维抢修要求即可，材质根据业主要求提供</w:t>
            </w:r>
          </w:p>
        </w:tc>
      </w:tr>
      <w:tr w14:paraId="35ED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BDA4A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13</w:t>
            </w:r>
          </w:p>
        </w:tc>
        <w:tc>
          <w:tcPr>
            <w:tcW w:w="2606" w:type="dxa"/>
            <w:shd w:val="clear" w:color="auto" w:fill="auto"/>
            <w:vAlign w:val="bottom"/>
          </w:tcPr>
          <w:p w14:paraId="59171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w:t>
            </w:r>
          </w:p>
        </w:tc>
        <w:tc>
          <w:tcPr>
            <w:tcW w:w="2271" w:type="dxa"/>
            <w:shd w:val="clear" w:color="auto" w:fill="auto"/>
            <w:vAlign w:val="bottom"/>
          </w:tcPr>
          <w:p w14:paraId="4BAFA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2E57AB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其他抢维修设备</w:t>
            </w:r>
          </w:p>
        </w:tc>
      </w:tr>
    </w:tbl>
    <w:p w14:paraId="54CF4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项目实施质量及时间要求：</w:t>
      </w:r>
    </w:p>
    <w:p w14:paraId="4EE42EC2">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由中标人包工包料组织实施，质量要求达到国家有关工程质量标准。如涉及到安全或质量问题由中标人全权负责。</w:t>
      </w:r>
    </w:p>
    <w:p w14:paraId="1E71AAB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项目服务期限：合同签订之日起至2025年12月31日</w:t>
      </w:r>
      <w:r>
        <w:rPr>
          <w:rFonts w:hint="eastAsia" w:ascii="宋体" w:hAnsi="宋体" w:cs="宋体"/>
          <w:color w:val="auto"/>
          <w:sz w:val="24"/>
          <w:highlight w:val="none"/>
        </w:rPr>
        <w:t>。</w:t>
      </w:r>
    </w:p>
    <w:p w14:paraId="22E2A803">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单个项目工期：</w:t>
      </w:r>
      <w:r>
        <w:rPr>
          <w:rFonts w:hint="eastAsia" w:ascii="宋体" w:hAnsi="宋体"/>
          <w:color w:val="auto"/>
          <w:sz w:val="24"/>
          <w:highlight w:val="none"/>
        </w:rPr>
        <w:t>按</w:t>
      </w:r>
      <w:r>
        <w:rPr>
          <w:rFonts w:hint="eastAsia" w:ascii="宋体" w:hAnsi="宋体"/>
          <w:color w:val="auto"/>
          <w:sz w:val="24"/>
          <w:highlight w:val="none"/>
          <w:lang w:eastAsia="zh-CN"/>
        </w:rPr>
        <w:t>采购人</w:t>
      </w:r>
      <w:r>
        <w:rPr>
          <w:rFonts w:hint="eastAsia" w:ascii="宋体" w:hAnsi="宋体"/>
          <w:color w:val="auto"/>
          <w:sz w:val="24"/>
          <w:highlight w:val="none"/>
        </w:rPr>
        <w:t>要求工期</w:t>
      </w:r>
      <w:r>
        <w:rPr>
          <w:rFonts w:hint="eastAsia" w:ascii="宋体" w:hAnsi="宋体" w:cs="宋体"/>
          <w:color w:val="auto"/>
          <w:kern w:val="0"/>
          <w:sz w:val="24"/>
          <w:szCs w:val="24"/>
          <w:highlight w:val="none"/>
        </w:rPr>
        <w:t>。</w:t>
      </w:r>
    </w:p>
    <w:p w14:paraId="73E03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费用</w:t>
      </w:r>
      <w:r>
        <w:rPr>
          <w:rFonts w:hint="eastAsia" w:ascii="宋体" w:hAnsi="宋体" w:cs="宋体"/>
          <w:color w:val="auto"/>
          <w:sz w:val="24"/>
          <w:szCs w:val="24"/>
          <w:highlight w:val="none"/>
          <w:lang w:val="zh-CN"/>
        </w:rPr>
        <w:t>结算</w:t>
      </w:r>
    </w:p>
    <w:p w14:paraId="59D78F58">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费采用总价包干，基本维护费付款前中标人须开具6%的增值税专用发票提供给采购方。</w:t>
      </w:r>
    </w:p>
    <w:p w14:paraId="0BA965A7">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6.2本项目</w:t>
      </w:r>
      <w:r>
        <w:rPr>
          <w:rFonts w:hint="eastAsia" w:ascii="宋体" w:hAnsi="宋体" w:eastAsia="宋体" w:cs="宋体"/>
          <w:color w:val="auto"/>
          <w:kern w:val="0"/>
          <w:sz w:val="24"/>
          <w:szCs w:val="24"/>
          <w:highlight w:val="none"/>
          <w:lang w:val="en-US" w:eastAsia="zh-CN"/>
        </w:rPr>
        <w:t>在服务期内，如遇</w:t>
      </w:r>
      <w:r>
        <w:rPr>
          <w:rFonts w:hint="eastAsia" w:ascii="宋体" w:hAnsi="宋体" w:cs="宋体"/>
          <w:color w:val="auto"/>
          <w:kern w:val="0"/>
          <w:sz w:val="24"/>
          <w:szCs w:val="24"/>
          <w:highlight w:val="none"/>
          <w:lang w:val="en-US" w:eastAsia="zh-CN"/>
        </w:rPr>
        <w:t>应急</w:t>
      </w:r>
      <w:r>
        <w:rPr>
          <w:rFonts w:hint="eastAsia" w:ascii="宋体" w:hAnsi="宋体" w:eastAsia="宋体" w:cs="宋体"/>
          <w:color w:val="auto"/>
          <w:kern w:val="0"/>
          <w:sz w:val="24"/>
          <w:szCs w:val="24"/>
          <w:highlight w:val="none"/>
          <w:lang w:val="en-US" w:eastAsia="zh-CN"/>
        </w:rPr>
        <w:t>抢（维）修作业，抢（维）修部分的价款，由第三方审计单位审核确定后的工程竣工结算价作为最终结算金额，抢（维）修作业费付款前中标人须开具9%的增值税专用发票提供给采购方。结算原则如下：</w:t>
      </w:r>
    </w:p>
    <w:p w14:paraId="22ADD768">
      <w:pPr>
        <w:tabs>
          <w:tab w:val="left" w:pos="900"/>
          <w:tab w:val="left" w:pos="7959"/>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（1）工程量：经双方认可的实际工程量。</w:t>
      </w:r>
      <w:r>
        <w:rPr>
          <w:rFonts w:hint="eastAsia" w:ascii="宋体" w:hAnsi="宋体" w:cs="宋体"/>
          <w:color w:val="auto"/>
          <w:kern w:val="0"/>
          <w:sz w:val="24"/>
          <w:szCs w:val="24"/>
          <w:highlight w:val="none"/>
          <w:lang w:val="en-US" w:eastAsia="zh-CN"/>
        </w:rPr>
        <w:tab/>
      </w:r>
    </w:p>
    <w:p w14:paraId="30844B38">
      <w:pPr>
        <w:tabs>
          <w:tab w:val="left" w:pos="900"/>
        </w:tabs>
        <w:spacing w:line="42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（2）人材机：</w:t>
      </w:r>
      <w:r>
        <w:rPr>
          <w:rFonts w:hint="default"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人工费、辅材费用等已包含在</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费内，最终结算时该部分费用不另行计取。</w:t>
      </w:r>
      <w:r>
        <w:rPr>
          <w:rFonts w:hint="default"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机械设备价格按市政工程专业的计价定额计取。</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4 \* GB3 \* MERGEFORMAT </w:instrText>
      </w:r>
      <w:r>
        <w:rPr>
          <w:rFonts w:hint="eastAsia" w:ascii="宋体" w:hAnsi="宋体" w:eastAsia="宋体" w:cs="宋体"/>
          <w:color w:val="auto"/>
          <w:kern w:val="0"/>
          <w:sz w:val="24"/>
          <w:szCs w:val="24"/>
          <w:highlight w:val="none"/>
          <w:lang w:val="en-US" w:eastAsia="zh-CN"/>
        </w:rPr>
        <w:fldChar w:fldCharType="separate"/>
      </w:r>
      <w:r>
        <w:rPr>
          <w:color w:val="auto"/>
          <w:highlight w:val="none"/>
        </w:rPr>
        <w:t>④</w:t>
      </w:r>
      <w:r>
        <w:rPr>
          <w:rFonts w:hint="eastAsia" w:ascii="宋体" w:hAnsi="宋体" w:eastAsia="宋体" w:cs="宋体"/>
          <w:color w:val="auto"/>
          <w:kern w:val="0"/>
          <w:sz w:val="24"/>
          <w:szCs w:val="24"/>
          <w:highlight w:val="none"/>
          <w:lang w:val="en-US" w:eastAsia="zh-CN"/>
        </w:rPr>
        <w:fldChar w:fldCharType="end"/>
      </w:r>
      <w:r>
        <w:rPr>
          <w:rFonts w:hint="eastAsia" w:ascii="宋体" w:hAnsi="宋体" w:cs="宋体"/>
          <w:color w:val="auto"/>
          <w:kern w:val="0"/>
          <w:sz w:val="24"/>
          <w:szCs w:val="24"/>
          <w:highlight w:val="none"/>
          <w:lang w:val="en-US" w:eastAsia="zh-CN"/>
        </w:rPr>
        <w:t>本项目涉及的相关取费费率为区间值的，一律按低值计取。</w:t>
      </w:r>
    </w:p>
    <w:p w14:paraId="1F2A15D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注：如中标单位为小微企业无法开具上述税率的税票,采购人结算时予以扣除税金差额。</w:t>
      </w:r>
    </w:p>
    <w:p w14:paraId="66A88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7.付款条件</w:t>
      </w:r>
    </w:p>
    <w:p w14:paraId="0D9E92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16902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6C33C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B1E8D84">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32A56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其他相关要求</w:t>
      </w:r>
    </w:p>
    <w:p w14:paraId="0AC0CEC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7C2CB94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14:paraId="5DC1672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14:paraId="06E440D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14:paraId="5EA7174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46916F62">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0957CE29">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0632FD06">
      <w:pPr>
        <w:numPr>
          <w:ilvl w:val="0"/>
          <w:numId w:val="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江苏东能天然气管网有限公司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26027D71">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48CB803B">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613F582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BFFEF10">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0F6E8B3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7FC389E1">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67BE4235">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7B29F62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3F55BDA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6BB6F058">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453834A8">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785BBC84">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719DC126">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37BA5B1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0433AF2F">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150C1C6D">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4DE7A4F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5B122B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3AE1DC4F">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47260D2A">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1EB2965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7CBC3801">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761660F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6B0029C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164E5DB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7625AE2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5868D5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1AC3B03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0A6C43D2">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07B157A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0B4D9DE5">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7480C1A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60A7D60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09ABADB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5A368F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0FEE1C61">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01C3F0A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要求加盖电子签章或红色实物公章。</w:t>
      </w:r>
    </w:p>
    <w:p w14:paraId="409E1BE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5EDA369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）其他法律、法规及本</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规定的属无效投标的情形。</w:t>
      </w:r>
    </w:p>
    <w:p w14:paraId="4E58EFE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0640294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2535323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248CAFE5">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0443E4D4">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24BB0983">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52B11498">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5D672966">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67007F11">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7E1A5495">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22077A6C">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09A41D00">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030E128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.报价应包括完成本项目</w:t>
      </w:r>
      <w:r>
        <w:rPr>
          <w:rFonts w:hint="eastAsia" w:ascii="宋体" w:hAnsi="宋体" w:cs="宋体"/>
          <w:color w:val="auto"/>
          <w:kern w:val="2"/>
          <w:sz w:val="24"/>
          <w:szCs w:val="20"/>
          <w:highlight w:val="none"/>
          <w:lang w:val="en-US" w:eastAsia="zh-CN"/>
        </w:rPr>
        <w:t>所有</w:t>
      </w:r>
      <w:r>
        <w:rPr>
          <w:rFonts w:hint="eastAsia" w:ascii="宋体" w:hAnsi="宋体" w:cs="宋体"/>
          <w:color w:val="auto"/>
          <w:kern w:val="2"/>
          <w:sz w:val="24"/>
          <w:szCs w:val="20"/>
          <w:highlight w:val="none"/>
        </w:rPr>
        <w:t>内容所必须的</w:t>
      </w:r>
      <w:r>
        <w:rPr>
          <w:rFonts w:hint="eastAsia" w:ascii="宋体" w:hAnsi="宋体" w:cs="宋体"/>
          <w:b w:val="0"/>
          <w:bCs w:val="0"/>
          <w:color w:val="auto"/>
          <w:sz w:val="24"/>
          <w:highlight w:val="none"/>
        </w:rPr>
        <w:t>材料费、人工费、机械费、利润、管理费、税金、规费、风险费以及完成相应工作内容的措施项目费、安全（含保险费）及防护费用、</w:t>
      </w:r>
      <w:r>
        <w:rPr>
          <w:rFonts w:hint="eastAsia" w:ascii="宋体" w:hAnsi="宋体" w:eastAsia="宋体" w:cs="宋体"/>
          <w:b w:val="0"/>
          <w:bCs w:val="0"/>
          <w:color w:val="auto"/>
          <w:sz w:val="24"/>
          <w:highlight w:val="none"/>
        </w:rPr>
        <w:t>施工现场清理及垃圾清运费用等</w:t>
      </w:r>
      <w:r>
        <w:rPr>
          <w:rFonts w:hint="eastAsia" w:ascii="宋体" w:hAnsi="宋体" w:cs="宋体"/>
          <w:b w:val="0"/>
          <w:bCs w:val="0"/>
          <w:color w:val="auto"/>
          <w:sz w:val="24"/>
          <w:highlight w:val="none"/>
        </w:rPr>
        <w:t>的全部费用</w:t>
      </w:r>
      <w:r>
        <w:rPr>
          <w:rFonts w:hint="eastAsia" w:ascii="宋体" w:hAnsi="宋体" w:cs="宋体"/>
          <w:b w:val="0"/>
          <w:bCs w:val="0"/>
          <w:color w:val="auto"/>
          <w:kern w:val="2"/>
          <w:sz w:val="24"/>
          <w:szCs w:val="20"/>
          <w:highlight w:val="none"/>
        </w:rPr>
        <w:t>。</w:t>
      </w:r>
      <w:r>
        <w:rPr>
          <w:rFonts w:hint="eastAsia" w:ascii="宋体" w:hAnsi="宋体" w:cs="宋体"/>
          <w:color w:val="auto"/>
          <w:kern w:val="2"/>
          <w:sz w:val="24"/>
          <w:szCs w:val="20"/>
          <w:highlight w:val="none"/>
        </w:rPr>
        <w:t>同时</w:t>
      </w:r>
      <w:r>
        <w:rPr>
          <w:rFonts w:hint="eastAsia" w:ascii="宋体" w:hAnsi="宋体" w:cs="宋体"/>
          <w:color w:val="auto"/>
          <w:kern w:val="2"/>
          <w:sz w:val="24"/>
          <w:highlight w:val="none"/>
        </w:rPr>
        <w:t>，报价也应包含合同履行过程中可能发生的一切风险</w:t>
      </w:r>
      <w:r>
        <w:rPr>
          <w:rFonts w:hint="eastAsia" w:ascii="宋体" w:hAnsi="宋体" w:eastAsia="宋体" w:cs="宋体"/>
          <w:color w:val="auto"/>
          <w:sz w:val="24"/>
          <w:highlight w:val="none"/>
        </w:rPr>
        <w:t>。</w:t>
      </w:r>
    </w:p>
    <w:p w14:paraId="1191466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7976FDD2">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149CB18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12C5B859">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435187E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582E464">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、验收及付款方式</w:t>
      </w:r>
    </w:p>
    <w:p w14:paraId="5B3D0EB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550B3893">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21719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58E3F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7C281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2DEE31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6CD4E517">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、其它说明</w:t>
      </w:r>
    </w:p>
    <w:p w14:paraId="257AB1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440C181E">
      <w:pPr>
        <w:spacing w:line="420" w:lineRule="exact"/>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color w:val="auto"/>
          <w:sz w:val="24"/>
          <w:highlight w:val="none"/>
          <w:lang w:val="zh-CN"/>
        </w:rPr>
        <w:t>.投标人如对本采购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3EC4BE3D">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0DA2CCA1">
      <w:pPr>
        <w:spacing w:line="420" w:lineRule="exact"/>
        <w:ind w:firstLine="470" w:firstLineChars="196"/>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.采购方不解释落标原因，不退还投标文件。</w:t>
      </w:r>
    </w:p>
    <w:p w14:paraId="44D0930A">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59BFEAA9">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621DB7C3">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3F95D77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30AC708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0E9370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6AC6D6A3">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6AE1C256">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1BB4FED0">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73F3633F">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0A3145ED">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23470869">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13DD6791">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14:paraId="1584A0F9">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color w:val="auto"/>
          <w:highlight w:val="none"/>
        </w:rPr>
        <w:t>格式见附件</w:t>
      </w:r>
      <w:r>
        <w:rPr>
          <w:rFonts w:hint="eastAsia" w:ascii="宋体" w:hAnsi="宋体" w:eastAsia="宋体" w:cs="宋体"/>
          <w:color w:val="auto"/>
          <w:highlight w:val="none"/>
          <w:lang w:val="en-US" w:eastAsia="zh-CN"/>
        </w:rPr>
        <w:t>五</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b w:val="0"/>
          <w:bCs w:val="0"/>
          <w:color w:val="auto"/>
          <w:sz w:val="24"/>
          <w:szCs w:val="20"/>
          <w:highlight w:val="none"/>
          <w:lang w:val="en-US" w:eastAsia="zh-CN"/>
        </w:rPr>
        <w:t>同时需提高</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、安全员及质检员的职称证（资格证）</w:t>
      </w:r>
      <w:r>
        <w:rPr>
          <w:rFonts w:hint="eastAsia" w:ascii="宋体" w:hAnsi="宋体" w:eastAsia="宋体" w:cs="宋体"/>
          <w:color w:val="auto"/>
          <w:kern w:val="0"/>
          <w:sz w:val="24"/>
          <w:highlight w:val="none"/>
        </w:rPr>
        <w:t>原件扫描件或复印件加盖公章</w:t>
      </w:r>
    </w:p>
    <w:p w14:paraId="6E7FC116">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14:paraId="0F551406">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val="en-US" w:eastAsia="zh-CN"/>
        </w:rPr>
        <w:t>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的证明材料（须提供合同原件扫描件或复印件加盖公章）。</w:t>
      </w:r>
    </w:p>
    <w:p w14:paraId="571B13B5">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cs="宋体"/>
          <w:color w:val="auto"/>
          <w:highlight w:val="none"/>
          <w:lang w:val="en-US" w:eastAsia="zh-CN"/>
        </w:rPr>
        <w:t>服务</w:t>
      </w:r>
      <w:r>
        <w:rPr>
          <w:rFonts w:hint="eastAsia" w:ascii="宋体" w:hAnsi="宋体" w:eastAsia="宋体" w:cs="宋体"/>
          <w:color w:val="auto"/>
          <w:highlight w:val="none"/>
          <w:lang w:val="en-US" w:eastAsia="zh-CN"/>
        </w:rPr>
        <w:t>承诺函</w:t>
      </w:r>
      <w:r>
        <w:rPr>
          <w:rFonts w:hint="eastAsia" w:ascii="宋体" w:hAnsi="宋体" w:eastAsia="宋体" w:cs="宋体"/>
          <w:color w:val="auto"/>
          <w:highlight w:val="none"/>
        </w:rPr>
        <w:t>（格式见附件</w:t>
      </w:r>
      <w:r>
        <w:rPr>
          <w:rFonts w:hint="eastAsia" w:cs="宋体"/>
          <w:color w:val="auto"/>
          <w:highlight w:val="none"/>
          <w:lang w:val="en-US" w:eastAsia="zh-CN"/>
        </w:rPr>
        <w:t>六</w:t>
      </w:r>
      <w:r>
        <w:rPr>
          <w:rFonts w:hint="eastAsia" w:ascii="宋体" w:hAnsi="宋体" w:eastAsia="宋体" w:cs="宋体"/>
          <w:color w:val="auto"/>
          <w:highlight w:val="none"/>
        </w:rPr>
        <w:t>）</w:t>
      </w:r>
      <w:r>
        <w:rPr>
          <w:rFonts w:hint="eastAsia" w:cs="宋体"/>
          <w:color w:val="auto"/>
          <w:highlight w:val="none"/>
          <w:lang w:eastAsia="zh-CN"/>
        </w:rPr>
        <w:t>。</w:t>
      </w:r>
    </w:p>
    <w:p w14:paraId="7E502318">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47A8B39">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539ED1E7">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cs="宋体"/>
          <w:color w:val="auto"/>
          <w:sz w:val="24"/>
          <w:highlight w:val="none"/>
          <w:lang w:val="en-US" w:eastAsia="zh-CN"/>
        </w:rPr>
        <w:t>七，上传至“投标函”内</w:t>
      </w:r>
      <w:r>
        <w:rPr>
          <w:rFonts w:hint="eastAsia" w:ascii="宋体" w:hAnsi="宋体" w:eastAsia="宋体" w:cs="宋体"/>
          <w:color w:val="auto"/>
          <w:sz w:val="24"/>
          <w:highlight w:val="none"/>
        </w:rPr>
        <w:t>）；</w:t>
      </w:r>
    </w:p>
    <w:p w14:paraId="346024A4">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101BA8CD">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07A30D10">
      <w:pPr>
        <w:spacing w:line="640" w:lineRule="exact"/>
        <w:ind w:firstLine="360" w:firstLineChars="150"/>
        <w:rPr>
          <w:rFonts w:hint="eastAsia" w:ascii="宋体" w:hAnsi="宋体" w:eastAsia="宋体" w:cs="宋体"/>
          <w:color w:val="auto"/>
          <w:sz w:val="24"/>
          <w:highlight w:val="none"/>
        </w:rPr>
      </w:pPr>
    </w:p>
    <w:p w14:paraId="1906B39A">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6DA4BC4F">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66BD9BE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554C97F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2AA467E2">
      <w:pPr>
        <w:spacing w:line="640" w:lineRule="exact"/>
        <w:ind w:firstLine="360" w:firstLineChars="1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附件五：</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p>
    <w:p w14:paraId="302C004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：服务承诺函；</w:t>
      </w:r>
    </w:p>
    <w:p w14:paraId="1F420E63">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53060160">
      <w:pPr>
        <w:pStyle w:val="11"/>
        <w:spacing w:line="640" w:lineRule="exact"/>
        <w:jc w:val="both"/>
        <w:rPr>
          <w:rFonts w:hint="eastAsia" w:ascii="宋体" w:hAnsi="宋体" w:eastAsia="宋体" w:cs="宋体"/>
          <w:color w:val="auto"/>
          <w:highlight w:val="none"/>
        </w:rPr>
      </w:pPr>
    </w:p>
    <w:p w14:paraId="6B60457F">
      <w:pPr>
        <w:pStyle w:val="11"/>
        <w:spacing w:line="420" w:lineRule="exact"/>
        <w:jc w:val="both"/>
        <w:rPr>
          <w:rFonts w:hint="eastAsia" w:ascii="宋体" w:hAnsi="宋体" w:eastAsia="宋体" w:cs="宋体"/>
          <w:color w:val="auto"/>
          <w:highlight w:val="none"/>
        </w:rPr>
      </w:pPr>
    </w:p>
    <w:p w14:paraId="226A80A0">
      <w:pPr>
        <w:pStyle w:val="11"/>
        <w:spacing w:line="225" w:lineRule="atLeast"/>
        <w:jc w:val="both"/>
        <w:rPr>
          <w:rFonts w:hint="eastAsia" w:ascii="宋体" w:hAnsi="宋体" w:eastAsia="宋体" w:cs="宋体"/>
          <w:color w:val="auto"/>
          <w:highlight w:val="none"/>
        </w:rPr>
      </w:pPr>
    </w:p>
    <w:p w14:paraId="1A27B7DC">
      <w:pPr>
        <w:pStyle w:val="11"/>
        <w:spacing w:line="225" w:lineRule="atLeast"/>
        <w:jc w:val="both"/>
        <w:rPr>
          <w:rFonts w:hint="eastAsia" w:ascii="宋体" w:hAnsi="宋体" w:eastAsia="宋体" w:cs="宋体"/>
          <w:color w:val="auto"/>
          <w:highlight w:val="none"/>
        </w:rPr>
      </w:pPr>
    </w:p>
    <w:p w14:paraId="5AB726A9">
      <w:pPr>
        <w:pStyle w:val="11"/>
        <w:spacing w:line="225" w:lineRule="atLeast"/>
        <w:jc w:val="both"/>
        <w:rPr>
          <w:rFonts w:hint="eastAsia" w:ascii="宋体" w:hAnsi="宋体" w:eastAsia="宋体" w:cs="宋体"/>
          <w:color w:val="auto"/>
          <w:highlight w:val="none"/>
        </w:rPr>
      </w:pPr>
    </w:p>
    <w:p w14:paraId="38D8421E">
      <w:pPr>
        <w:pStyle w:val="11"/>
        <w:spacing w:line="225" w:lineRule="atLeast"/>
        <w:jc w:val="both"/>
        <w:rPr>
          <w:rFonts w:hint="eastAsia" w:ascii="宋体" w:hAnsi="宋体" w:eastAsia="宋体" w:cs="宋体"/>
          <w:color w:val="auto"/>
          <w:highlight w:val="none"/>
        </w:rPr>
      </w:pPr>
    </w:p>
    <w:p w14:paraId="40F2BBCA">
      <w:pPr>
        <w:pStyle w:val="11"/>
        <w:spacing w:line="225" w:lineRule="atLeast"/>
        <w:jc w:val="both"/>
        <w:rPr>
          <w:rFonts w:hint="eastAsia" w:ascii="宋体" w:hAnsi="宋体" w:eastAsia="宋体" w:cs="宋体"/>
          <w:color w:val="auto"/>
          <w:highlight w:val="none"/>
        </w:rPr>
      </w:pPr>
    </w:p>
    <w:p w14:paraId="65F701E6">
      <w:pPr>
        <w:pStyle w:val="11"/>
        <w:spacing w:line="225" w:lineRule="atLeast"/>
        <w:jc w:val="both"/>
        <w:rPr>
          <w:rFonts w:hint="eastAsia" w:ascii="宋体" w:hAnsi="宋体" w:eastAsia="宋体" w:cs="宋体"/>
          <w:color w:val="auto"/>
          <w:highlight w:val="none"/>
        </w:rPr>
      </w:pPr>
    </w:p>
    <w:p w14:paraId="07314119">
      <w:pPr>
        <w:pStyle w:val="11"/>
        <w:spacing w:line="225" w:lineRule="atLeast"/>
        <w:jc w:val="both"/>
        <w:rPr>
          <w:rFonts w:hint="eastAsia" w:ascii="宋体" w:hAnsi="宋体" w:eastAsia="宋体" w:cs="宋体"/>
          <w:b/>
          <w:bCs/>
          <w:color w:val="auto"/>
          <w:sz w:val="30"/>
          <w:szCs w:val="30"/>
          <w:highlight w:val="none"/>
        </w:rPr>
      </w:pPr>
    </w:p>
    <w:p w14:paraId="051C03CD">
      <w:pPr>
        <w:pStyle w:val="11"/>
        <w:spacing w:line="225" w:lineRule="atLeast"/>
        <w:jc w:val="both"/>
        <w:rPr>
          <w:rFonts w:hint="eastAsia" w:ascii="宋体" w:hAnsi="宋体" w:eastAsia="宋体" w:cs="宋体"/>
          <w:b/>
          <w:bCs/>
          <w:color w:val="auto"/>
          <w:sz w:val="30"/>
          <w:szCs w:val="30"/>
          <w:highlight w:val="none"/>
        </w:rPr>
      </w:pPr>
    </w:p>
    <w:p w14:paraId="7FB90420">
      <w:pPr>
        <w:pStyle w:val="11"/>
        <w:spacing w:line="225" w:lineRule="atLeast"/>
        <w:jc w:val="both"/>
        <w:rPr>
          <w:rFonts w:hint="eastAsia" w:ascii="宋体" w:hAnsi="宋体" w:eastAsia="宋体" w:cs="宋体"/>
          <w:b/>
          <w:bCs/>
          <w:color w:val="auto"/>
          <w:sz w:val="30"/>
          <w:szCs w:val="30"/>
          <w:highlight w:val="none"/>
        </w:rPr>
      </w:pPr>
    </w:p>
    <w:p w14:paraId="1C9A5D36">
      <w:pPr>
        <w:pStyle w:val="11"/>
        <w:spacing w:line="225" w:lineRule="atLeast"/>
        <w:jc w:val="both"/>
        <w:rPr>
          <w:rFonts w:hint="eastAsia" w:ascii="宋体" w:hAnsi="宋体" w:eastAsia="宋体" w:cs="宋体"/>
          <w:b/>
          <w:bCs/>
          <w:color w:val="auto"/>
          <w:sz w:val="30"/>
          <w:szCs w:val="30"/>
          <w:highlight w:val="none"/>
        </w:rPr>
      </w:pPr>
    </w:p>
    <w:p w14:paraId="03577420">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590345B4">
      <w:pPr>
        <w:pStyle w:val="21"/>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04621D19">
      <w:pPr>
        <w:pStyle w:val="3"/>
        <w:spacing w:line="420" w:lineRule="atLeast"/>
        <w:ind w:firstLine="0"/>
        <w:jc w:val="center"/>
        <w:rPr>
          <w:rFonts w:hint="eastAsia" w:ascii="宋体" w:hAnsi="宋体" w:eastAsia="宋体" w:cs="宋体"/>
          <w:color w:val="auto"/>
          <w:sz w:val="28"/>
          <w:szCs w:val="28"/>
          <w:highlight w:val="none"/>
        </w:rPr>
      </w:pPr>
    </w:p>
    <w:p w14:paraId="5914FB02">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116AD1D3">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5B536E34">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69264D86">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34125E">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5D87D66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2EA8BE54">
      <w:pPr>
        <w:pStyle w:val="3"/>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726D640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20135037">
      <w:pPr>
        <w:pStyle w:val="3"/>
        <w:spacing w:line="480" w:lineRule="auto"/>
        <w:ind w:firstLine="560" w:firstLineChars="200"/>
        <w:rPr>
          <w:rFonts w:hint="eastAsia" w:ascii="宋体" w:hAnsi="宋体" w:eastAsia="宋体" w:cs="宋体"/>
          <w:color w:val="auto"/>
          <w:sz w:val="28"/>
          <w:szCs w:val="28"/>
          <w:highlight w:val="none"/>
        </w:rPr>
      </w:pPr>
    </w:p>
    <w:p w14:paraId="03B65D7F">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24693BF">
      <w:pPr>
        <w:pStyle w:val="3"/>
        <w:spacing w:line="480" w:lineRule="auto"/>
        <w:ind w:firstLine="560" w:firstLineChars="200"/>
        <w:rPr>
          <w:rFonts w:hint="eastAsia" w:ascii="宋体" w:hAnsi="宋体" w:eastAsia="宋体" w:cs="宋体"/>
          <w:color w:val="auto"/>
          <w:sz w:val="28"/>
          <w:szCs w:val="28"/>
          <w:highlight w:val="none"/>
        </w:rPr>
      </w:pPr>
    </w:p>
    <w:p w14:paraId="3BB96389">
      <w:pPr>
        <w:pStyle w:val="3"/>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790AF86D">
      <w:pPr>
        <w:pStyle w:val="3"/>
        <w:spacing w:line="480" w:lineRule="auto"/>
        <w:ind w:firstLine="4480" w:firstLineChars="1600"/>
        <w:rPr>
          <w:rFonts w:hint="eastAsia" w:ascii="宋体" w:hAnsi="宋体" w:eastAsia="宋体" w:cs="宋体"/>
          <w:color w:val="auto"/>
          <w:sz w:val="28"/>
          <w:szCs w:val="28"/>
          <w:highlight w:val="none"/>
        </w:rPr>
      </w:pPr>
    </w:p>
    <w:p w14:paraId="228F6B80">
      <w:pPr>
        <w:pStyle w:val="3"/>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9E5B86C">
      <w:pPr>
        <w:pStyle w:val="11"/>
        <w:spacing w:line="225" w:lineRule="atLeast"/>
        <w:jc w:val="both"/>
        <w:rPr>
          <w:rFonts w:hint="eastAsia" w:ascii="宋体" w:hAnsi="宋体" w:eastAsia="宋体" w:cs="宋体"/>
          <w:b/>
          <w:bCs/>
          <w:color w:val="auto"/>
          <w:sz w:val="30"/>
          <w:szCs w:val="30"/>
          <w:highlight w:val="none"/>
        </w:rPr>
      </w:pPr>
    </w:p>
    <w:p w14:paraId="544BEBBE">
      <w:pPr>
        <w:pStyle w:val="11"/>
        <w:spacing w:line="225" w:lineRule="atLeast"/>
        <w:jc w:val="both"/>
        <w:rPr>
          <w:rFonts w:hint="eastAsia" w:ascii="宋体" w:hAnsi="宋体" w:eastAsia="宋体" w:cs="宋体"/>
          <w:b/>
          <w:bCs/>
          <w:color w:val="auto"/>
          <w:sz w:val="30"/>
          <w:szCs w:val="30"/>
          <w:highlight w:val="none"/>
        </w:rPr>
      </w:pPr>
    </w:p>
    <w:p w14:paraId="6261A625">
      <w:pPr>
        <w:pStyle w:val="11"/>
        <w:spacing w:line="225" w:lineRule="atLeast"/>
        <w:jc w:val="both"/>
        <w:rPr>
          <w:rFonts w:hint="eastAsia" w:ascii="宋体" w:hAnsi="宋体" w:eastAsia="宋体" w:cs="宋体"/>
          <w:b/>
          <w:bCs/>
          <w:color w:val="auto"/>
          <w:sz w:val="30"/>
          <w:szCs w:val="30"/>
          <w:highlight w:val="none"/>
        </w:rPr>
      </w:pPr>
    </w:p>
    <w:p w14:paraId="025BE31C">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7D288EE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672B856D">
      <w:pPr>
        <w:spacing w:line="500" w:lineRule="exact"/>
        <w:ind w:firstLine="560" w:firstLineChars="200"/>
        <w:rPr>
          <w:rFonts w:hint="eastAsia" w:ascii="宋体" w:hAnsi="宋体" w:eastAsia="宋体" w:cs="宋体"/>
          <w:color w:val="auto"/>
          <w:sz w:val="28"/>
          <w:szCs w:val="28"/>
          <w:highlight w:val="none"/>
        </w:rPr>
      </w:pPr>
    </w:p>
    <w:p w14:paraId="316D903A">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江苏东能天然气管网有限公司</w:t>
      </w:r>
      <w:r>
        <w:rPr>
          <w:rFonts w:hint="eastAsia" w:ascii="宋体" w:hAnsi="宋体" w:eastAsia="宋体" w:cs="宋体"/>
          <w:color w:val="auto"/>
          <w:sz w:val="28"/>
          <w:szCs w:val="28"/>
          <w:highlight w:val="none"/>
          <w:u w:val="single"/>
        </w:rPr>
        <w:t xml:space="preserve"> ：</w:t>
      </w:r>
    </w:p>
    <w:p w14:paraId="7385431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6CBF8278">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江苏东能天然气管网有限公司2024-2025年度应急抢修项目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5E1EC776">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3C07B5BC">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5797ADA2">
      <w:pPr>
        <w:spacing w:line="540" w:lineRule="exact"/>
        <w:rPr>
          <w:rFonts w:hint="eastAsia" w:ascii="宋体" w:hAnsi="宋体" w:eastAsia="宋体" w:cs="宋体"/>
          <w:color w:val="auto"/>
          <w:sz w:val="28"/>
          <w:szCs w:val="28"/>
          <w:highlight w:val="none"/>
        </w:rPr>
      </w:pPr>
    </w:p>
    <w:p w14:paraId="1F3A7269">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1022CEC1">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690A2ED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74EBD17C">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0B1CE8C4">
      <w:pPr>
        <w:spacing w:line="600" w:lineRule="exact"/>
        <w:rPr>
          <w:rFonts w:hint="eastAsia" w:ascii="宋体" w:hAnsi="宋体" w:eastAsia="宋体" w:cs="宋体"/>
          <w:color w:val="auto"/>
          <w:sz w:val="28"/>
          <w:szCs w:val="28"/>
          <w:highlight w:val="none"/>
        </w:rPr>
      </w:pPr>
    </w:p>
    <w:p w14:paraId="77016BBB">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67732B78">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3629BA37">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49F1C4E">
      <w:pPr>
        <w:spacing w:line="600" w:lineRule="exact"/>
        <w:ind w:left="5040" w:hanging="5040" w:hangingChars="1800"/>
        <w:rPr>
          <w:rFonts w:hint="eastAsia" w:ascii="宋体" w:hAnsi="宋体" w:eastAsia="宋体" w:cs="宋体"/>
          <w:color w:val="auto"/>
          <w:sz w:val="28"/>
          <w:szCs w:val="28"/>
          <w:highlight w:val="none"/>
        </w:rPr>
      </w:pPr>
    </w:p>
    <w:p w14:paraId="094DEC86">
      <w:pPr>
        <w:spacing w:line="600" w:lineRule="exact"/>
        <w:rPr>
          <w:rFonts w:hint="eastAsia" w:ascii="宋体" w:hAnsi="宋体" w:eastAsia="宋体" w:cs="宋体"/>
          <w:color w:val="auto"/>
          <w:sz w:val="28"/>
          <w:szCs w:val="28"/>
          <w:highlight w:val="none"/>
        </w:rPr>
      </w:pPr>
    </w:p>
    <w:p w14:paraId="55A169D3">
      <w:pPr>
        <w:pStyle w:val="11"/>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附件三：</w:t>
      </w:r>
    </w:p>
    <w:p w14:paraId="76928A39">
      <w:pPr>
        <w:pStyle w:val="11"/>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501F2F34">
      <w:pPr>
        <w:pStyle w:val="11"/>
        <w:spacing w:before="0" w:beforeAutospacing="0" w:after="0" w:afterAutospacing="0" w:line="560" w:lineRule="exact"/>
        <w:jc w:val="both"/>
        <w:rPr>
          <w:rFonts w:hint="eastAsia" w:ascii="宋体" w:hAnsi="宋体" w:eastAsia="宋体" w:cs="宋体"/>
          <w:b/>
          <w:color w:val="auto"/>
          <w:sz w:val="24"/>
          <w:szCs w:val="24"/>
          <w:highlight w:val="none"/>
          <w:u w:val="single"/>
        </w:rPr>
      </w:pPr>
      <w:r>
        <w:rPr>
          <w:rFonts w:hint="eastAsia" w:cs="宋体"/>
          <w:color w:val="auto"/>
          <w:sz w:val="24"/>
          <w:szCs w:val="24"/>
          <w:highlight w:val="none"/>
          <w:u w:val="single"/>
          <w:lang w:eastAsia="zh-CN"/>
        </w:rPr>
        <w:t>江苏东能天然气管网有限公司</w:t>
      </w:r>
      <w:r>
        <w:rPr>
          <w:rFonts w:hint="eastAsia" w:ascii="宋体" w:hAnsi="宋体" w:eastAsia="宋体" w:cs="宋体"/>
          <w:bCs/>
          <w:color w:val="auto"/>
          <w:sz w:val="24"/>
          <w:szCs w:val="24"/>
          <w:highlight w:val="none"/>
          <w:u w:val="single"/>
        </w:rPr>
        <w:t xml:space="preserve"> ：</w:t>
      </w:r>
    </w:p>
    <w:p w14:paraId="49695F7E">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1.根据你方</w:t>
      </w:r>
      <w:r>
        <w:rPr>
          <w:rFonts w:hint="eastAsia"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项目的</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、遵照《中华人民共和国政府采购法》等有关规定，经勘察项目现场和研究上述</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的投标须知、合同条款、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需求、其他有关文件后，我方愿以按上述合同条款、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需求的条件要求承包上述项目的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，并承担任何质量责任。</w:t>
      </w:r>
    </w:p>
    <w:p w14:paraId="394ED91A">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.我方已详细审核全部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，包括修改文件、答疑（如有时）及有关附件，我方完全响应并认可上述文件的所有条款。</w:t>
      </w:r>
    </w:p>
    <w:p w14:paraId="6CD783E0">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.一旦我方中标，我方保证</w:t>
      </w:r>
      <w:r>
        <w:rPr>
          <w:rFonts w:hint="eastAsia" w:ascii="宋体" w:hAnsi="宋体" w:eastAsia="宋体" w:cs="宋体"/>
          <w:color w:val="auto"/>
          <w:sz w:val="24"/>
          <w:szCs w:val="24"/>
          <w:highlight w:val="none"/>
          <w:lang w:val="en-US" w:eastAsia="zh-CN"/>
        </w:rPr>
        <w:t>工程</w:t>
      </w:r>
      <w:r>
        <w:rPr>
          <w:rFonts w:hint="eastAsia" w:ascii="宋体" w:hAnsi="宋体" w:eastAsia="宋体" w:cs="宋体"/>
          <w:b/>
          <w:color w:val="auto"/>
          <w:sz w:val="24"/>
          <w:szCs w:val="24"/>
          <w:highlight w:val="none"/>
        </w:rPr>
        <w:t>质量达到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合格</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我方严格执行保修条款。</w:t>
      </w:r>
    </w:p>
    <w:p w14:paraId="26AF41E6">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.我方同意所提交的投标文件在“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投标须知”中规定的投标有效期内有效，在此期间内如果中标，我方将受此约束。</w:t>
      </w:r>
    </w:p>
    <w:p w14:paraId="12AF2CF9">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.除非另外达成协议生效，你方的中标通知书和本投标文件将成为约束双方的合同文件的组成部分。</w:t>
      </w:r>
    </w:p>
    <w:p w14:paraId="3E677C6B">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.我方按照</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文件的要求，提供的所有投标资料都是真实的，如我方提供的资料不真实，我方将放弃中标的权利，并承担由此产生的责任。</w:t>
      </w:r>
    </w:p>
    <w:p w14:paraId="183A001C">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.我方在实施本项目时做到安全第一、质量第一。如涉及到安全或质量问题由我方负责。</w:t>
      </w:r>
    </w:p>
    <w:p w14:paraId="0388E99D">
      <w:pPr>
        <w:spacing w:line="56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370DF48C">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2BE0D781">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（签字或盖章）            </w:t>
      </w:r>
    </w:p>
    <w:p w14:paraId="30E5AA7B">
      <w:pPr>
        <w:spacing w:line="560" w:lineRule="exact"/>
        <w:ind w:left="1680"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8BC58AD">
      <w:pPr>
        <w:spacing w:line="560" w:lineRule="exact"/>
        <w:ind w:left="1793" w:leftChars="854" w:firstLine="2280" w:firstLineChars="950"/>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bCs/>
          <w:color w:val="auto"/>
          <w:sz w:val="30"/>
          <w:szCs w:val="30"/>
          <w:highlight w:val="none"/>
        </w:rPr>
        <w:br w:type="page"/>
      </w:r>
    </w:p>
    <w:p w14:paraId="77E127CF">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00B5795F">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742FFA2A">
      <w:pPr>
        <w:spacing w:before="12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的投标，企业统一社会信用代码</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。为了</w:t>
      </w:r>
      <w:r>
        <w:rPr>
          <w:rFonts w:hint="eastAsia" w:ascii="宋体" w:hAnsi="宋体" w:eastAsia="宋体" w:cs="宋体"/>
          <w:color w:val="auto"/>
          <w:sz w:val="24"/>
          <w:szCs w:val="24"/>
          <w:highlight w:val="none"/>
        </w:rPr>
        <w:t>营造公开、公平、公正的公共资源交易环境，树立诚信守法的投标人形象，本单位作出以下承诺：</w:t>
      </w:r>
    </w:p>
    <w:p w14:paraId="3192322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10FB83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1AF34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三、严格遵守即时信息公示规定，及时更新公共资源交易中心主体信息库中信息；</w:t>
      </w:r>
    </w:p>
    <w:p w14:paraId="4D32CD3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05742A2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17F0E9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六、自觉接受政府部门、行业组织、社会公众、新闻舆论等监督；</w:t>
      </w:r>
    </w:p>
    <w:p w14:paraId="72E0F6B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七、上述承诺已向本单位员工作了宣传教育；</w:t>
      </w:r>
    </w:p>
    <w:p w14:paraId="64BE05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本单位同意将以上承诺事项上网公示。</w:t>
      </w:r>
    </w:p>
    <w:p w14:paraId="70884C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drawing>
          <wp:anchor distT="0" distB="0" distL="114300" distR="114300" simplePos="0" relativeHeight="251659264" behindDoc="0" locked="0" layoutInCell="1" allowOverlap="1">
            <wp:simplePos x="0" y="0"/>
            <wp:positionH relativeFrom="column">
              <wp:posOffset>2135505</wp:posOffset>
            </wp:positionH>
            <wp:positionV relativeFrom="paragraph">
              <wp:posOffset>77470</wp:posOffset>
            </wp:positionV>
            <wp:extent cx="960120" cy="1410335"/>
            <wp:effectExtent l="0" t="0" r="11430" b="18415"/>
            <wp:wrapNone/>
            <wp:docPr id="5" name="图片 5"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2a148b8bf2a47b388169cd014523c"/>
                    <pic:cNvPicPr>
                      <a:picLocks noChangeAspect="1"/>
                    </pic:cNvPicPr>
                  </pic:nvPicPr>
                  <pic:blipFill>
                    <a:blip r:embed="rId8"/>
                    <a:stretch>
                      <a:fillRect/>
                    </a:stretch>
                  </pic:blipFill>
                  <pic:spPr>
                    <a:xfrm>
                      <a:off x="0" y="0"/>
                      <a:ext cx="960120" cy="1410335"/>
                    </a:xfrm>
                    <a:prstGeom prst="rect">
                      <a:avLst/>
                    </a:prstGeom>
                    <a:noFill/>
                    <a:ln>
                      <a:noFill/>
                    </a:ln>
                  </pic:spPr>
                </pic:pic>
              </a:graphicData>
            </a:graphic>
          </wp:anchor>
        </w:drawing>
      </w:r>
    </w:p>
    <w:p w14:paraId="3D622B65">
      <w:pPr>
        <w:spacing w:line="480" w:lineRule="exact"/>
        <w:ind w:firstLine="560" w:firstLineChars="200"/>
        <w:rPr>
          <w:rFonts w:hint="eastAsia" w:ascii="宋体" w:hAnsi="宋体" w:eastAsia="宋体" w:cs="宋体"/>
          <w:color w:val="auto"/>
          <w:sz w:val="28"/>
          <w:szCs w:val="28"/>
          <w:highlight w:val="none"/>
        </w:rPr>
      </w:pPr>
    </w:p>
    <w:p w14:paraId="33E4C219">
      <w:pPr>
        <w:spacing w:line="480" w:lineRule="exact"/>
        <w:ind w:firstLine="560" w:firstLineChars="200"/>
        <w:rPr>
          <w:rFonts w:hint="eastAsia" w:ascii="宋体" w:hAnsi="宋体" w:eastAsia="宋体" w:cs="宋体"/>
          <w:color w:val="auto"/>
          <w:sz w:val="28"/>
          <w:szCs w:val="28"/>
          <w:highlight w:val="none"/>
        </w:rPr>
      </w:pPr>
    </w:p>
    <w:p w14:paraId="3D102DE4">
      <w:pPr>
        <w:spacing w:line="480" w:lineRule="exact"/>
        <w:ind w:firstLine="560" w:firstLineChars="200"/>
        <w:rPr>
          <w:rFonts w:hint="eastAsia" w:ascii="宋体" w:hAnsi="宋体" w:eastAsia="宋体" w:cs="宋体"/>
          <w:color w:val="auto"/>
          <w:sz w:val="28"/>
          <w:szCs w:val="28"/>
          <w:highlight w:val="none"/>
        </w:rPr>
      </w:pPr>
    </w:p>
    <w:p w14:paraId="71A06DE4">
      <w:pPr>
        <w:spacing w:line="480" w:lineRule="exact"/>
        <w:ind w:firstLine="560" w:firstLineChars="200"/>
        <w:rPr>
          <w:rFonts w:hint="eastAsia" w:ascii="宋体" w:hAnsi="宋体" w:eastAsia="宋体" w:cs="宋体"/>
          <w:color w:val="auto"/>
          <w:sz w:val="28"/>
          <w:szCs w:val="28"/>
          <w:highlight w:val="none"/>
        </w:rPr>
      </w:pPr>
    </w:p>
    <w:p w14:paraId="66DF1E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          </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签名：</w:t>
      </w:r>
    </w:p>
    <w:p w14:paraId="721367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时间：  年  月  日</w:t>
      </w:r>
    </w:p>
    <w:p w14:paraId="7882BA3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F663212">
      <w:pPr>
        <w:jc w:val="both"/>
        <w:rPr>
          <w:rFonts w:hint="eastAsia" w:ascii="宋体" w:hAnsi="宋体" w:eastAsia="宋体" w:cs="宋体"/>
          <w:color w:val="auto"/>
          <w:sz w:val="24"/>
          <w:szCs w:val="24"/>
          <w:highlight w:val="none"/>
        </w:rPr>
      </w:pPr>
    </w:p>
    <w:p w14:paraId="1AAAD1AC">
      <w:pPr>
        <w:tabs>
          <w:tab w:val="left" w:pos="993"/>
        </w:tabs>
        <w:spacing w:line="360" w:lineRule="auto"/>
        <w:jc w:val="both"/>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附件五：</w:t>
      </w:r>
    </w:p>
    <w:p w14:paraId="6FF15741">
      <w:pPr>
        <w:tabs>
          <w:tab w:val="left" w:pos="993"/>
        </w:tabs>
        <w:spacing w:line="360" w:lineRule="auto"/>
        <w:jc w:val="center"/>
        <w:rPr>
          <w:rFonts w:ascii="宋体" w:hAnsi="宋体"/>
          <w:b/>
          <w:color w:val="auto"/>
          <w:sz w:val="28"/>
          <w:szCs w:val="28"/>
          <w:highlight w:val="none"/>
        </w:rPr>
      </w:pPr>
      <w:r>
        <w:rPr>
          <w:rFonts w:hint="eastAsia" w:ascii="宋体" w:hAnsi="宋体"/>
          <w:b/>
          <w:bCs/>
          <w:color w:val="auto"/>
          <w:sz w:val="28"/>
          <w:szCs w:val="28"/>
          <w:highlight w:val="none"/>
        </w:rPr>
        <w:t>拟派</w:t>
      </w:r>
      <w:r>
        <w:rPr>
          <w:rFonts w:hint="eastAsia" w:ascii="宋体" w:hAnsi="宋体"/>
          <w:b/>
          <w:bCs/>
          <w:color w:val="auto"/>
          <w:sz w:val="28"/>
          <w:szCs w:val="28"/>
          <w:highlight w:val="none"/>
          <w:lang w:val="en-US" w:eastAsia="zh-CN"/>
        </w:rPr>
        <w:t>本项目基本维护</w:t>
      </w:r>
      <w:r>
        <w:rPr>
          <w:rFonts w:hint="eastAsia" w:ascii="宋体" w:hAnsi="宋体"/>
          <w:b/>
          <w:bCs/>
          <w:color w:val="auto"/>
          <w:sz w:val="28"/>
          <w:szCs w:val="28"/>
          <w:highlight w:val="none"/>
        </w:rPr>
        <w:t>成员</w:t>
      </w:r>
      <w:r>
        <w:rPr>
          <w:rFonts w:hint="eastAsia" w:ascii="宋体" w:hAnsi="宋体"/>
          <w:b/>
          <w:bCs/>
          <w:color w:val="auto"/>
          <w:sz w:val="28"/>
          <w:szCs w:val="28"/>
          <w:highlight w:val="none"/>
          <w:lang w:val="en-US" w:eastAsia="zh-CN"/>
        </w:rPr>
        <w:t>一览</w:t>
      </w:r>
      <w:r>
        <w:rPr>
          <w:rFonts w:hint="eastAsia" w:ascii="宋体" w:hAnsi="宋体"/>
          <w:b/>
          <w:bCs/>
          <w:color w:val="auto"/>
          <w:sz w:val="28"/>
          <w:szCs w:val="28"/>
          <w:highlight w:val="none"/>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44"/>
        <w:gridCol w:w="881"/>
        <w:gridCol w:w="960"/>
        <w:gridCol w:w="1147"/>
        <w:gridCol w:w="1265"/>
        <w:gridCol w:w="2510"/>
      </w:tblGrid>
      <w:tr w14:paraId="7627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7" w:type="dxa"/>
            <w:vAlign w:val="center"/>
          </w:tcPr>
          <w:p w14:paraId="230839C2">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序号</w:t>
            </w:r>
          </w:p>
        </w:tc>
        <w:tc>
          <w:tcPr>
            <w:tcW w:w="1344" w:type="dxa"/>
            <w:vAlign w:val="center"/>
          </w:tcPr>
          <w:p w14:paraId="02A371EE">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姓  名</w:t>
            </w:r>
          </w:p>
        </w:tc>
        <w:tc>
          <w:tcPr>
            <w:tcW w:w="881" w:type="dxa"/>
            <w:vAlign w:val="center"/>
          </w:tcPr>
          <w:p w14:paraId="1CCAA523">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性别</w:t>
            </w:r>
          </w:p>
        </w:tc>
        <w:tc>
          <w:tcPr>
            <w:tcW w:w="960" w:type="dxa"/>
            <w:vAlign w:val="center"/>
          </w:tcPr>
          <w:p w14:paraId="38175876">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年龄</w:t>
            </w:r>
          </w:p>
        </w:tc>
        <w:tc>
          <w:tcPr>
            <w:tcW w:w="1147" w:type="dxa"/>
            <w:vAlign w:val="center"/>
          </w:tcPr>
          <w:p w14:paraId="19839482">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学 历</w:t>
            </w:r>
          </w:p>
        </w:tc>
        <w:tc>
          <w:tcPr>
            <w:tcW w:w="1265" w:type="dxa"/>
            <w:vAlign w:val="center"/>
          </w:tcPr>
          <w:p w14:paraId="5CDD4B3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职  称</w:t>
            </w:r>
          </w:p>
        </w:tc>
        <w:tc>
          <w:tcPr>
            <w:tcW w:w="2510" w:type="dxa"/>
            <w:vAlign w:val="center"/>
          </w:tcPr>
          <w:p w14:paraId="3592357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拟任职务</w:t>
            </w:r>
          </w:p>
        </w:tc>
      </w:tr>
      <w:tr w14:paraId="4FF6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76233C28">
            <w:pPr>
              <w:spacing w:line="480" w:lineRule="auto"/>
              <w:jc w:val="center"/>
              <w:rPr>
                <w:rFonts w:ascii="宋体" w:hAnsi="宋体"/>
                <w:color w:val="auto"/>
                <w:sz w:val="28"/>
                <w:szCs w:val="28"/>
                <w:highlight w:val="none"/>
              </w:rPr>
            </w:pPr>
          </w:p>
        </w:tc>
        <w:tc>
          <w:tcPr>
            <w:tcW w:w="1344" w:type="dxa"/>
          </w:tcPr>
          <w:p w14:paraId="6EE7910D">
            <w:pPr>
              <w:spacing w:line="480" w:lineRule="auto"/>
              <w:jc w:val="center"/>
              <w:rPr>
                <w:rFonts w:ascii="宋体" w:hAnsi="宋体"/>
                <w:color w:val="auto"/>
                <w:sz w:val="28"/>
                <w:szCs w:val="28"/>
                <w:highlight w:val="none"/>
              </w:rPr>
            </w:pPr>
          </w:p>
        </w:tc>
        <w:tc>
          <w:tcPr>
            <w:tcW w:w="881" w:type="dxa"/>
          </w:tcPr>
          <w:p w14:paraId="1065BA40">
            <w:pPr>
              <w:spacing w:line="480" w:lineRule="auto"/>
              <w:jc w:val="center"/>
              <w:rPr>
                <w:rFonts w:ascii="宋体" w:hAnsi="宋体"/>
                <w:color w:val="auto"/>
                <w:sz w:val="28"/>
                <w:szCs w:val="28"/>
                <w:highlight w:val="none"/>
              </w:rPr>
            </w:pPr>
          </w:p>
        </w:tc>
        <w:tc>
          <w:tcPr>
            <w:tcW w:w="960" w:type="dxa"/>
          </w:tcPr>
          <w:p w14:paraId="38167A84">
            <w:pPr>
              <w:spacing w:line="480" w:lineRule="auto"/>
              <w:jc w:val="center"/>
              <w:rPr>
                <w:rFonts w:ascii="宋体" w:hAnsi="宋体"/>
                <w:color w:val="auto"/>
                <w:sz w:val="28"/>
                <w:szCs w:val="28"/>
                <w:highlight w:val="none"/>
              </w:rPr>
            </w:pPr>
          </w:p>
        </w:tc>
        <w:tc>
          <w:tcPr>
            <w:tcW w:w="1147" w:type="dxa"/>
          </w:tcPr>
          <w:p w14:paraId="44298893">
            <w:pPr>
              <w:spacing w:line="480" w:lineRule="auto"/>
              <w:jc w:val="center"/>
              <w:rPr>
                <w:rFonts w:ascii="宋体" w:hAnsi="宋体"/>
                <w:color w:val="auto"/>
                <w:sz w:val="28"/>
                <w:szCs w:val="28"/>
                <w:highlight w:val="none"/>
              </w:rPr>
            </w:pPr>
          </w:p>
        </w:tc>
        <w:tc>
          <w:tcPr>
            <w:tcW w:w="1265" w:type="dxa"/>
          </w:tcPr>
          <w:p w14:paraId="4B339E06">
            <w:pPr>
              <w:spacing w:line="480" w:lineRule="auto"/>
              <w:jc w:val="center"/>
              <w:rPr>
                <w:rFonts w:ascii="宋体" w:hAnsi="宋体"/>
                <w:color w:val="auto"/>
                <w:sz w:val="28"/>
                <w:szCs w:val="28"/>
                <w:highlight w:val="none"/>
              </w:rPr>
            </w:pPr>
          </w:p>
        </w:tc>
        <w:tc>
          <w:tcPr>
            <w:tcW w:w="2510" w:type="dxa"/>
          </w:tcPr>
          <w:p w14:paraId="4433A278">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项目负责人</w:t>
            </w:r>
          </w:p>
        </w:tc>
      </w:tr>
      <w:tr w14:paraId="4E48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27549B2">
            <w:pPr>
              <w:spacing w:line="480" w:lineRule="auto"/>
              <w:jc w:val="center"/>
              <w:rPr>
                <w:rFonts w:ascii="宋体" w:hAnsi="宋体"/>
                <w:color w:val="auto"/>
                <w:sz w:val="28"/>
                <w:szCs w:val="28"/>
                <w:highlight w:val="none"/>
              </w:rPr>
            </w:pPr>
          </w:p>
        </w:tc>
        <w:tc>
          <w:tcPr>
            <w:tcW w:w="1344" w:type="dxa"/>
          </w:tcPr>
          <w:p w14:paraId="0800B62D">
            <w:pPr>
              <w:spacing w:line="480" w:lineRule="auto"/>
              <w:jc w:val="center"/>
              <w:rPr>
                <w:rFonts w:ascii="宋体" w:hAnsi="宋体"/>
                <w:color w:val="auto"/>
                <w:sz w:val="28"/>
                <w:szCs w:val="28"/>
                <w:highlight w:val="none"/>
              </w:rPr>
            </w:pPr>
          </w:p>
        </w:tc>
        <w:tc>
          <w:tcPr>
            <w:tcW w:w="881" w:type="dxa"/>
          </w:tcPr>
          <w:p w14:paraId="7759E649">
            <w:pPr>
              <w:spacing w:line="480" w:lineRule="auto"/>
              <w:jc w:val="center"/>
              <w:rPr>
                <w:rFonts w:ascii="宋体" w:hAnsi="宋体"/>
                <w:color w:val="auto"/>
                <w:sz w:val="28"/>
                <w:szCs w:val="28"/>
                <w:highlight w:val="none"/>
              </w:rPr>
            </w:pPr>
          </w:p>
        </w:tc>
        <w:tc>
          <w:tcPr>
            <w:tcW w:w="960" w:type="dxa"/>
          </w:tcPr>
          <w:p w14:paraId="5D5DF763">
            <w:pPr>
              <w:spacing w:line="480" w:lineRule="auto"/>
              <w:jc w:val="center"/>
              <w:rPr>
                <w:rFonts w:ascii="宋体" w:hAnsi="宋体"/>
                <w:color w:val="auto"/>
                <w:sz w:val="28"/>
                <w:szCs w:val="28"/>
                <w:highlight w:val="none"/>
              </w:rPr>
            </w:pPr>
          </w:p>
        </w:tc>
        <w:tc>
          <w:tcPr>
            <w:tcW w:w="1147" w:type="dxa"/>
          </w:tcPr>
          <w:p w14:paraId="2A33E234">
            <w:pPr>
              <w:spacing w:line="480" w:lineRule="auto"/>
              <w:jc w:val="center"/>
              <w:rPr>
                <w:rFonts w:ascii="宋体" w:hAnsi="宋体"/>
                <w:color w:val="auto"/>
                <w:sz w:val="28"/>
                <w:szCs w:val="28"/>
                <w:highlight w:val="none"/>
              </w:rPr>
            </w:pPr>
          </w:p>
        </w:tc>
        <w:tc>
          <w:tcPr>
            <w:tcW w:w="1265" w:type="dxa"/>
          </w:tcPr>
          <w:p w14:paraId="070E83FB">
            <w:pPr>
              <w:spacing w:line="480" w:lineRule="auto"/>
              <w:jc w:val="center"/>
              <w:rPr>
                <w:rFonts w:ascii="宋体" w:hAnsi="宋体"/>
                <w:color w:val="auto"/>
                <w:sz w:val="28"/>
                <w:szCs w:val="28"/>
                <w:highlight w:val="none"/>
              </w:rPr>
            </w:pPr>
          </w:p>
        </w:tc>
        <w:tc>
          <w:tcPr>
            <w:tcW w:w="2510" w:type="dxa"/>
          </w:tcPr>
          <w:p w14:paraId="081953C4">
            <w:pPr>
              <w:spacing w:line="480" w:lineRule="auto"/>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安全员</w:t>
            </w:r>
          </w:p>
        </w:tc>
      </w:tr>
      <w:tr w14:paraId="3744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7" w:type="dxa"/>
          </w:tcPr>
          <w:p w14:paraId="62DB01B3">
            <w:pPr>
              <w:spacing w:line="480" w:lineRule="auto"/>
              <w:jc w:val="center"/>
              <w:rPr>
                <w:rFonts w:ascii="宋体" w:hAnsi="宋体"/>
                <w:color w:val="auto"/>
                <w:sz w:val="28"/>
                <w:szCs w:val="28"/>
                <w:highlight w:val="none"/>
              </w:rPr>
            </w:pPr>
          </w:p>
        </w:tc>
        <w:tc>
          <w:tcPr>
            <w:tcW w:w="1344" w:type="dxa"/>
          </w:tcPr>
          <w:p w14:paraId="3918B99B">
            <w:pPr>
              <w:spacing w:line="480" w:lineRule="auto"/>
              <w:jc w:val="center"/>
              <w:rPr>
                <w:rFonts w:ascii="宋体" w:hAnsi="宋体"/>
                <w:color w:val="auto"/>
                <w:sz w:val="28"/>
                <w:szCs w:val="28"/>
                <w:highlight w:val="none"/>
              </w:rPr>
            </w:pPr>
          </w:p>
        </w:tc>
        <w:tc>
          <w:tcPr>
            <w:tcW w:w="881" w:type="dxa"/>
          </w:tcPr>
          <w:p w14:paraId="27C29A9B">
            <w:pPr>
              <w:spacing w:line="480" w:lineRule="auto"/>
              <w:jc w:val="center"/>
              <w:rPr>
                <w:rFonts w:ascii="宋体" w:hAnsi="宋体"/>
                <w:color w:val="auto"/>
                <w:sz w:val="28"/>
                <w:szCs w:val="28"/>
                <w:highlight w:val="none"/>
              </w:rPr>
            </w:pPr>
          </w:p>
        </w:tc>
        <w:tc>
          <w:tcPr>
            <w:tcW w:w="960" w:type="dxa"/>
          </w:tcPr>
          <w:p w14:paraId="65573B58">
            <w:pPr>
              <w:spacing w:line="480" w:lineRule="auto"/>
              <w:jc w:val="center"/>
              <w:rPr>
                <w:rFonts w:ascii="宋体" w:hAnsi="宋体"/>
                <w:color w:val="auto"/>
                <w:sz w:val="28"/>
                <w:szCs w:val="28"/>
                <w:highlight w:val="none"/>
              </w:rPr>
            </w:pPr>
          </w:p>
        </w:tc>
        <w:tc>
          <w:tcPr>
            <w:tcW w:w="1147" w:type="dxa"/>
          </w:tcPr>
          <w:p w14:paraId="5977C27D">
            <w:pPr>
              <w:spacing w:line="480" w:lineRule="auto"/>
              <w:jc w:val="center"/>
              <w:rPr>
                <w:rFonts w:ascii="宋体" w:hAnsi="宋体"/>
                <w:color w:val="auto"/>
                <w:sz w:val="28"/>
                <w:szCs w:val="28"/>
                <w:highlight w:val="none"/>
              </w:rPr>
            </w:pPr>
          </w:p>
        </w:tc>
        <w:tc>
          <w:tcPr>
            <w:tcW w:w="1265" w:type="dxa"/>
          </w:tcPr>
          <w:p w14:paraId="23B90D6A">
            <w:pPr>
              <w:spacing w:line="480" w:lineRule="auto"/>
              <w:jc w:val="center"/>
              <w:rPr>
                <w:rFonts w:ascii="宋体" w:hAnsi="宋体"/>
                <w:color w:val="auto"/>
                <w:sz w:val="28"/>
                <w:szCs w:val="28"/>
                <w:highlight w:val="none"/>
              </w:rPr>
            </w:pPr>
          </w:p>
        </w:tc>
        <w:tc>
          <w:tcPr>
            <w:tcW w:w="2510" w:type="dxa"/>
          </w:tcPr>
          <w:p w14:paraId="5394D920">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质检员</w:t>
            </w:r>
          </w:p>
        </w:tc>
      </w:tr>
      <w:tr w14:paraId="64A4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19B4C967">
            <w:pPr>
              <w:spacing w:line="480" w:lineRule="auto"/>
              <w:jc w:val="center"/>
              <w:rPr>
                <w:rFonts w:ascii="宋体" w:hAnsi="宋体"/>
                <w:color w:val="auto"/>
                <w:sz w:val="28"/>
                <w:szCs w:val="28"/>
                <w:highlight w:val="none"/>
              </w:rPr>
            </w:pPr>
          </w:p>
        </w:tc>
        <w:tc>
          <w:tcPr>
            <w:tcW w:w="1344" w:type="dxa"/>
          </w:tcPr>
          <w:p w14:paraId="3C7E75B3">
            <w:pPr>
              <w:spacing w:line="480" w:lineRule="auto"/>
              <w:jc w:val="center"/>
              <w:rPr>
                <w:rFonts w:ascii="宋体" w:hAnsi="宋体"/>
                <w:color w:val="auto"/>
                <w:sz w:val="28"/>
                <w:szCs w:val="28"/>
                <w:highlight w:val="none"/>
              </w:rPr>
            </w:pPr>
          </w:p>
        </w:tc>
        <w:tc>
          <w:tcPr>
            <w:tcW w:w="881" w:type="dxa"/>
          </w:tcPr>
          <w:p w14:paraId="425072F1">
            <w:pPr>
              <w:spacing w:line="480" w:lineRule="auto"/>
              <w:jc w:val="center"/>
              <w:rPr>
                <w:rFonts w:ascii="宋体" w:hAnsi="宋体"/>
                <w:color w:val="auto"/>
                <w:sz w:val="28"/>
                <w:szCs w:val="28"/>
                <w:highlight w:val="none"/>
              </w:rPr>
            </w:pPr>
          </w:p>
        </w:tc>
        <w:tc>
          <w:tcPr>
            <w:tcW w:w="960" w:type="dxa"/>
          </w:tcPr>
          <w:p w14:paraId="7754AEF3">
            <w:pPr>
              <w:spacing w:line="480" w:lineRule="auto"/>
              <w:jc w:val="center"/>
              <w:rPr>
                <w:rFonts w:ascii="宋体" w:hAnsi="宋体"/>
                <w:color w:val="auto"/>
                <w:sz w:val="28"/>
                <w:szCs w:val="28"/>
                <w:highlight w:val="none"/>
              </w:rPr>
            </w:pPr>
          </w:p>
        </w:tc>
        <w:tc>
          <w:tcPr>
            <w:tcW w:w="1147" w:type="dxa"/>
          </w:tcPr>
          <w:p w14:paraId="2349625F">
            <w:pPr>
              <w:spacing w:line="480" w:lineRule="auto"/>
              <w:jc w:val="center"/>
              <w:rPr>
                <w:rFonts w:ascii="宋体" w:hAnsi="宋体"/>
                <w:color w:val="auto"/>
                <w:sz w:val="28"/>
                <w:szCs w:val="28"/>
                <w:highlight w:val="none"/>
              </w:rPr>
            </w:pPr>
          </w:p>
        </w:tc>
        <w:tc>
          <w:tcPr>
            <w:tcW w:w="1265" w:type="dxa"/>
          </w:tcPr>
          <w:p w14:paraId="2C4B5BD0">
            <w:pPr>
              <w:spacing w:line="480" w:lineRule="auto"/>
              <w:jc w:val="center"/>
              <w:rPr>
                <w:rFonts w:ascii="宋体" w:hAnsi="宋体"/>
                <w:color w:val="auto"/>
                <w:sz w:val="28"/>
                <w:szCs w:val="28"/>
                <w:highlight w:val="none"/>
              </w:rPr>
            </w:pPr>
          </w:p>
        </w:tc>
        <w:tc>
          <w:tcPr>
            <w:tcW w:w="2510" w:type="dxa"/>
          </w:tcPr>
          <w:p w14:paraId="5A7EFA3A">
            <w:pPr>
              <w:spacing w:line="480" w:lineRule="auto"/>
              <w:jc w:val="center"/>
              <w:rPr>
                <w:rFonts w:ascii="宋体" w:hAnsi="宋体"/>
                <w:color w:val="auto"/>
                <w:sz w:val="28"/>
                <w:szCs w:val="28"/>
                <w:highlight w:val="none"/>
              </w:rPr>
            </w:pPr>
          </w:p>
        </w:tc>
      </w:tr>
      <w:tr w14:paraId="7B9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01B39E2">
            <w:pPr>
              <w:spacing w:line="480" w:lineRule="auto"/>
              <w:jc w:val="center"/>
              <w:rPr>
                <w:rFonts w:ascii="宋体" w:hAnsi="宋体"/>
                <w:color w:val="auto"/>
                <w:sz w:val="28"/>
                <w:szCs w:val="28"/>
                <w:highlight w:val="none"/>
              </w:rPr>
            </w:pPr>
          </w:p>
        </w:tc>
        <w:tc>
          <w:tcPr>
            <w:tcW w:w="1344" w:type="dxa"/>
          </w:tcPr>
          <w:p w14:paraId="0B8D0C47">
            <w:pPr>
              <w:spacing w:line="480" w:lineRule="auto"/>
              <w:jc w:val="center"/>
              <w:rPr>
                <w:rFonts w:ascii="宋体" w:hAnsi="宋体"/>
                <w:color w:val="auto"/>
                <w:sz w:val="28"/>
                <w:szCs w:val="28"/>
                <w:highlight w:val="none"/>
              </w:rPr>
            </w:pPr>
          </w:p>
        </w:tc>
        <w:tc>
          <w:tcPr>
            <w:tcW w:w="881" w:type="dxa"/>
          </w:tcPr>
          <w:p w14:paraId="6B78A880">
            <w:pPr>
              <w:spacing w:line="480" w:lineRule="auto"/>
              <w:jc w:val="center"/>
              <w:rPr>
                <w:rFonts w:ascii="宋体" w:hAnsi="宋体"/>
                <w:color w:val="auto"/>
                <w:sz w:val="28"/>
                <w:szCs w:val="28"/>
                <w:highlight w:val="none"/>
              </w:rPr>
            </w:pPr>
          </w:p>
        </w:tc>
        <w:tc>
          <w:tcPr>
            <w:tcW w:w="960" w:type="dxa"/>
          </w:tcPr>
          <w:p w14:paraId="6C46879E">
            <w:pPr>
              <w:spacing w:line="480" w:lineRule="auto"/>
              <w:jc w:val="center"/>
              <w:rPr>
                <w:rFonts w:ascii="宋体" w:hAnsi="宋体"/>
                <w:color w:val="auto"/>
                <w:sz w:val="28"/>
                <w:szCs w:val="28"/>
                <w:highlight w:val="none"/>
              </w:rPr>
            </w:pPr>
          </w:p>
        </w:tc>
        <w:tc>
          <w:tcPr>
            <w:tcW w:w="1147" w:type="dxa"/>
          </w:tcPr>
          <w:p w14:paraId="09C3BED2">
            <w:pPr>
              <w:spacing w:line="480" w:lineRule="auto"/>
              <w:jc w:val="center"/>
              <w:rPr>
                <w:rFonts w:ascii="宋体" w:hAnsi="宋体"/>
                <w:color w:val="auto"/>
                <w:sz w:val="28"/>
                <w:szCs w:val="28"/>
                <w:highlight w:val="none"/>
              </w:rPr>
            </w:pPr>
          </w:p>
        </w:tc>
        <w:tc>
          <w:tcPr>
            <w:tcW w:w="1265" w:type="dxa"/>
          </w:tcPr>
          <w:p w14:paraId="128F4368">
            <w:pPr>
              <w:spacing w:line="480" w:lineRule="auto"/>
              <w:jc w:val="center"/>
              <w:rPr>
                <w:rFonts w:ascii="宋体" w:hAnsi="宋体"/>
                <w:color w:val="auto"/>
                <w:sz w:val="28"/>
                <w:szCs w:val="28"/>
                <w:highlight w:val="none"/>
              </w:rPr>
            </w:pPr>
          </w:p>
        </w:tc>
        <w:tc>
          <w:tcPr>
            <w:tcW w:w="2510" w:type="dxa"/>
          </w:tcPr>
          <w:p w14:paraId="1A87BB25">
            <w:pPr>
              <w:spacing w:line="480" w:lineRule="auto"/>
              <w:jc w:val="center"/>
              <w:rPr>
                <w:rFonts w:ascii="宋体" w:hAnsi="宋体"/>
                <w:color w:val="auto"/>
                <w:sz w:val="28"/>
                <w:szCs w:val="28"/>
                <w:highlight w:val="none"/>
              </w:rPr>
            </w:pPr>
          </w:p>
        </w:tc>
      </w:tr>
      <w:tr w14:paraId="1649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41274B6A">
            <w:pPr>
              <w:spacing w:line="480" w:lineRule="auto"/>
              <w:jc w:val="center"/>
              <w:rPr>
                <w:rFonts w:ascii="宋体" w:hAnsi="宋体"/>
                <w:color w:val="auto"/>
                <w:sz w:val="28"/>
                <w:szCs w:val="28"/>
                <w:highlight w:val="none"/>
              </w:rPr>
            </w:pPr>
          </w:p>
        </w:tc>
        <w:tc>
          <w:tcPr>
            <w:tcW w:w="1344" w:type="dxa"/>
          </w:tcPr>
          <w:p w14:paraId="2F3354FD">
            <w:pPr>
              <w:spacing w:line="480" w:lineRule="auto"/>
              <w:jc w:val="center"/>
              <w:rPr>
                <w:rFonts w:ascii="宋体" w:hAnsi="宋体"/>
                <w:color w:val="auto"/>
                <w:sz w:val="28"/>
                <w:szCs w:val="28"/>
                <w:highlight w:val="none"/>
              </w:rPr>
            </w:pPr>
          </w:p>
        </w:tc>
        <w:tc>
          <w:tcPr>
            <w:tcW w:w="881" w:type="dxa"/>
          </w:tcPr>
          <w:p w14:paraId="7DAA2F1D">
            <w:pPr>
              <w:spacing w:line="480" w:lineRule="auto"/>
              <w:jc w:val="center"/>
              <w:rPr>
                <w:rFonts w:ascii="宋体" w:hAnsi="宋体"/>
                <w:color w:val="auto"/>
                <w:sz w:val="28"/>
                <w:szCs w:val="28"/>
                <w:highlight w:val="none"/>
              </w:rPr>
            </w:pPr>
          </w:p>
        </w:tc>
        <w:tc>
          <w:tcPr>
            <w:tcW w:w="960" w:type="dxa"/>
          </w:tcPr>
          <w:p w14:paraId="0A7C3056">
            <w:pPr>
              <w:spacing w:line="480" w:lineRule="auto"/>
              <w:jc w:val="center"/>
              <w:rPr>
                <w:rFonts w:ascii="宋体" w:hAnsi="宋体"/>
                <w:color w:val="auto"/>
                <w:sz w:val="28"/>
                <w:szCs w:val="28"/>
                <w:highlight w:val="none"/>
              </w:rPr>
            </w:pPr>
          </w:p>
        </w:tc>
        <w:tc>
          <w:tcPr>
            <w:tcW w:w="1147" w:type="dxa"/>
          </w:tcPr>
          <w:p w14:paraId="38A28994">
            <w:pPr>
              <w:spacing w:line="480" w:lineRule="auto"/>
              <w:jc w:val="center"/>
              <w:rPr>
                <w:rFonts w:ascii="宋体" w:hAnsi="宋体"/>
                <w:color w:val="auto"/>
                <w:sz w:val="28"/>
                <w:szCs w:val="28"/>
                <w:highlight w:val="none"/>
              </w:rPr>
            </w:pPr>
          </w:p>
        </w:tc>
        <w:tc>
          <w:tcPr>
            <w:tcW w:w="1265" w:type="dxa"/>
          </w:tcPr>
          <w:p w14:paraId="17916041">
            <w:pPr>
              <w:spacing w:line="480" w:lineRule="auto"/>
              <w:jc w:val="center"/>
              <w:rPr>
                <w:rFonts w:ascii="宋体" w:hAnsi="宋体"/>
                <w:color w:val="auto"/>
                <w:sz w:val="28"/>
                <w:szCs w:val="28"/>
                <w:highlight w:val="none"/>
              </w:rPr>
            </w:pPr>
          </w:p>
        </w:tc>
        <w:tc>
          <w:tcPr>
            <w:tcW w:w="2510" w:type="dxa"/>
          </w:tcPr>
          <w:p w14:paraId="1DE5FC61">
            <w:pPr>
              <w:spacing w:line="480" w:lineRule="auto"/>
              <w:jc w:val="center"/>
              <w:rPr>
                <w:rFonts w:ascii="宋体" w:hAnsi="宋体"/>
                <w:color w:val="auto"/>
                <w:sz w:val="28"/>
                <w:szCs w:val="28"/>
                <w:highlight w:val="none"/>
              </w:rPr>
            </w:pPr>
          </w:p>
        </w:tc>
      </w:tr>
      <w:tr w14:paraId="2DE0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2CFE7585">
            <w:pPr>
              <w:spacing w:line="480" w:lineRule="auto"/>
              <w:jc w:val="center"/>
              <w:rPr>
                <w:rFonts w:ascii="宋体" w:hAnsi="宋体"/>
                <w:color w:val="auto"/>
                <w:sz w:val="28"/>
                <w:szCs w:val="28"/>
                <w:highlight w:val="none"/>
              </w:rPr>
            </w:pPr>
          </w:p>
        </w:tc>
        <w:tc>
          <w:tcPr>
            <w:tcW w:w="1344" w:type="dxa"/>
          </w:tcPr>
          <w:p w14:paraId="4E2C73DF">
            <w:pPr>
              <w:spacing w:line="480" w:lineRule="auto"/>
              <w:jc w:val="center"/>
              <w:rPr>
                <w:rFonts w:ascii="宋体" w:hAnsi="宋体"/>
                <w:color w:val="auto"/>
                <w:sz w:val="28"/>
                <w:szCs w:val="28"/>
                <w:highlight w:val="none"/>
              </w:rPr>
            </w:pPr>
          </w:p>
        </w:tc>
        <w:tc>
          <w:tcPr>
            <w:tcW w:w="881" w:type="dxa"/>
          </w:tcPr>
          <w:p w14:paraId="4FB68FC0">
            <w:pPr>
              <w:spacing w:line="480" w:lineRule="auto"/>
              <w:jc w:val="center"/>
              <w:rPr>
                <w:rFonts w:ascii="宋体" w:hAnsi="宋体"/>
                <w:color w:val="auto"/>
                <w:sz w:val="28"/>
                <w:szCs w:val="28"/>
                <w:highlight w:val="none"/>
              </w:rPr>
            </w:pPr>
          </w:p>
        </w:tc>
        <w:tc>
          <w:tcPr>
            <w:tcW w:w="960" w:type="dxa"/>
          </w:tcPr>
          <w:p w14:paraId="376FC836">
            <w:pPr>
              <w:spacing w:line="480" w:lineRule="auto"/>
              <w:jc w:val="center"/>
              <w:rPr>
                <w:rFonts w:ascii="宋体" w:hAnsi="宋体"/>
                <w:color w:val="auto"/>
                <w:sz w:val="28"/>
                <w:szCs w:val="28"/>
                <w:highlight w:val="none"/>
              </w:rPr>
            </w:pPr>
          </w:p>
        </w:tc>
        <w:tc>
          <w:tcPr>
            <w:tcW w:w="1147" w:type="dxa"/>
          </w:tcPr>
          <w:p w14:paraId="3E790890">
            <w:pPr>
              <w:spacing w:line="480" w:lineRule="auto"/>
              <w:jc w:val="center"/>
              <w:rPr>
                <w:rFonts w:ascii="宋体" w:hAnsi="宋体"/>
                <w:color w:val="auto"/>
                <w:sz w:val="28"/>
                <w:szCs w:val="28"/>
                <w:highlight w:val="none"/>
              </w:rPr>
            </w:pPr>
          </w:p>
        </w:tc>
        <w:tc>
          <w:tcPr>
            <w:tcW w:w="1265" w:type="dxa"/>
          </w:tcPr>
          <w:p w14:paraId="4EA15283">
            <w:pPr>
              <w:spacing w:line="480" w:lineRule="auto"/>
              <w:jc w:val="center"/>
              <w:rPr>
                <w:rFonts w:ascii="宋体" w:hAnsi="宋体"/>
                <w:color w:val="auto"/>
                <w:sz w:val="28"/>
                <w:szCs w:val="28"/>
                <w:highlight w:val="none"/>
              </w:rPr>
            </w:pPr>
          </w:p>
        </w:tc>
        <w:tc>
          <w:tcPr>
            <w:tcW w:w="2510" w:type="dxa"/>
          </w:tcPr>
          <w:p w14:paraId="7091118A">
            <w:pPr>
              <w:spacing w:line="480" w:lineRule="auto"/>
              <w:jc w:val="center"/>
              <w:rPr>
                <w:rFonts w:ascii="宋体" w:hAnsi="宋体"/>
                <w:color w:val="auto"/>
                <w:sz w:val="28"/>
                <w:szCs w:val="28"/>
                <w:highlight w:val="none"/>
              </w:rPr>
            </w:pPr>
          </w:p>
        </w:tc>
      </w:tr>
      <w:tr w14:paraId="47F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0A82B32">
            <w:pPr>
              <w:spacing w:line="480" w:lineRule="auto"/>
              <w:jc w:val="center"/>
              <w:rPr>
                <w:rFonts w:ascii="宋体" w:hAnsi="宋体"/>
                <w:color w:val="auto"/>
                <w:sz w:val="28"/>
                <w:szCs w:val="28"/>
                <w:highlight w:val="none"/>
              </w:rPr>
            </w:pPr>
          </w:p>
        </w:tc>
        <w:tc>
          <w:tcPr>
            <w:tcW w:w="1344" w:type="dxa"/>
          </w:tcPr>
          <w:p w14:paraId="3A2F84BF">
            <w:pPr>
              <w:spacing w:line="480" w:lineRule="auto"/>
              <w:jc w:val="center"/>
              <w:rPr>
                <w:rFonts w:ascii="宋体" w:hAnsi="宋体"/>
                <w:color w:val="auto"/>
                <w:sz w:val="28"/>
                <w:szCs w:val="28"/>
                <w:highlight w:val="none"/>
              </w:rPr>
            </w:pPr>
          </w:p>
        </w:tc>
        <w:tc>
          <w:tcPr>
            <w:tcW w:w="881" w:type="dxa"/>
          </w:tcPr>
          <w:p w14:paraId="4B95AC29">
            <w:pPr>
              <w:spacing w:line="480" w:lineRule="auto"/>
              <w:jc w:val="center"/>
              <w:rPr>
                <w:rFonts w:ascii="宋体" w:hAnsi="宋体"/>
                <w:color w:val="auto"/>
                <w:sz w:val="28"/>
                <w:szCs w:val="28"/>
                <w:highlight w:val="none"/>
              </w:rPr>
            </w:pPr>
          </w:p>
        </w:tc>
        <w:tc>
          <w:tcPr>
            <w:tcW w:w="960" w:type="dxa"/>
          </w:tcPr>
          <w:p w14:paraId="7EB2B6B7">
            <w:pPr>
              <w:spacing w:line="480" w:lineRule="auto"/>
              <w:jc w:val="center"/>
              <w:rPr>
                <w:rFonts w:ascii="宋体" w:hAnsi="宋体"/>
                <w:color w:val="auto"/>
                <w:sz w:val="28"/>
                <w:szCs w:val="28"/>
                <w:highlight w:val="none"/>
              </w:rPr>
            </w:pPr>
          </w:p>
        </w:tc>
        <w:tc>
          <w:tcPr>
            <w:tcW w:w="1147" w:type="dxa"/>
          </w:tcPr>
          <w:p w14:paraId="47F1C659">
            <w:pPr>
              <w:spacing w:line="480" w:lineRule="auto"/>
              <w:jc w:val="center"/>
              <w:rPr>
                <w:rFonts w:ascii="宋体" w:hAnsi="宋体"/>
                <w:color w:val="auto"/>
                <w:sz w:val="28"/>
                <w:szCs w:val="28"/>
                <w:highlight w:val="none"/>
              </w:rPr>
            </w:pPr>
          </w:p>
        </w:tc>
        <w:tc>
          <w:tcPr>
            <w:tcW w:w="1265" w:type="dxa"/>
          </w:tcPr>
          <w:p w14:paraId="2010862A">
            <w:pPr>
              <w:spacing w:line="480" w:lineRule="auto"/>
              <w:jc w:val="center"/>
              <w:rPr>
                <w:rFonts w:ascii="宋体" w:hAnsi="宋体"/>
                <w:color w:val="auto"/>
                <w:sz w:val="28"/>
                <w:szCs w:val="28"/>
                <w:highlight w:val="none"/>
              </w:rPr>
            </w:pPr>
          </w:p>
        </w:tc>
        <w:tc>
          <w:tcPr>
            <w:tcW w:w="2510" w:type="dxa"/>
          </w:tcPr>
          <w:p w14:paraId="7C6C139D">
            <w:pPr>
              <w:spacing w:line="480" w:lineRule="auto"/>
              <w:jc w:val="center"/>
              <w:rPr>
                <w:rFonts w:ascii="宋体" w:hAnsi="宋体"/>
                <w:color w:val="auto"/>
                <w:sz w:val="28"/>
                <w:szCs w:val="28"/>
                <w:highlight w:val="none"/>
              </w:rPr>
            </w:pPr>
          </w:p>
        </w:tc>
      </w:tr>
      <w:tr w14:paraId="5661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3DE269F1">
            <w:pPr>
              <w:spacing w:line="480" w:lineRule="auto"/>
              <w:rPr>
                <w:rFonts w:ascii="宋体" w:hAnsi="宋体"/>
                <w:color w:val="auto"/>
                <w:sz w:val="28"/>
                <w:szCs w:val="28"/>
                <w:highlight w:val="none"/>
              </w:rPr>
            </w:pPr>
          </w:p>
        </w:tc>
        <w:tc>
          <w:tcPr>
            <w:tcW w:w="1344" w:type="dxa"/>
          </w:tcPr>
          <w:p w14:paraId="79FC52EF">
            <w:pPr>
              <w:spacing w:line="480" w:lineRule="auto"/>
              <w:rPr>
                <w:rFonts w:ascii="宋体" w:hAnsi="宋体"/>
                <w:color w:val="auto"/>
                <w:sz w:val="28"/>
                <w:szCs w:val="28"/>
                <w:highlight w:val="none"/>
              </w:rPr>
            </w:pPr>
          </w:p>
        </w:tc>
        <w:tc>
          <w:tcPr>
            <w:tcW w:w="881" w:type="dxa"/>
          </w:tcPr>
          <w:p w14:paraId="66057B90">
            <w:pPr>
              <w:spacing w:line="480" w:lineRule="auto"/>
              <w:rPr>
                <w:rFonts w:ascii="宋体" w:hAnsi="宋体"/>
                <w:color w:val="auto"/>
                <w:sz w:val="28"/>
                <w:szCs w:val="28"/>
                <w:highlight w:val="none"/>
              </w:rPr>
            </w:pPr>
          </w:p>
        </w:tc>
        <w:tc>
          <w:tcPr>
            <w:tcW w:w="960" w:type="dxa"/>
          </w:tcPr>
          <w:p w14:paraId="2A7F06B2">
            <w:pPr>
              <w:spacing w:line="480" w:lineRule="auto"/>
              <w:rPr>
                <w:rFonts w:ascii="宋体" w:hAnsi="宋体"/>
                <w:color w:val="auto"/>
                <w:sz w:val="28"/>
                <w:szCs w:val="28"/>
                <w:highlight w:val="none"/>
              </w:rPr>
            </w:pPr>
          </w:p>
        </w:tc>
        <w:tc>
          <w:tcPr>
            <w:tcW w:w="1147" w:type="dxa"/>
          </w:tcPr>
          <w:p w14:paraId="7C6E27EA">
            <w:pPr>
              <w:spacing w:line="480" w:lineRule="auto"/>
              <w:rPr>
                <w:rFonts w:ascii="宋体" w:hAnsi="宋体"/>
                <w:color w:val="auto"/>
                <w:sz w:val="28"/>
                <w:szCs w:val="28"/>
                <w:highlight w:val="none"/>
              </w:rPr>
            </w:pPr>
          </w:p>
        </w:tc>
        <w:tc>
          <w:tcPr>
            <w:tcW w:w="1265" w:type="dxa"/>
          </w:tcPr>
          <w:p w14:paraId="37D8E966">
            <w:pPr>
              <w:spacing w:line="480" w:lineRule="auto"/>
              <w:rPr>
                <w:rFonts w:ascii="宋体" w:hAnsi="宋体"/>
                <w:color w:val="auto"/>
                <w:sz w:val="28"/>
                <w:szCs w:val="28"/>
                <w:highlight w:val="none"/>
              </w:rPr>
            </w:pPr>
          </w:p>
        </w:tc>
        <w:tc>
          <w:tcPr>
            <w:tcW w:w="2510" w:type="dxa"/>
          </w:tcPr>
          <w:p w14:paraId="3CE7F42A">
            <w:pPr>
              <w:spacing w:line="480" w:lineRule="auto"/>
              <w:rPr>
                <w:rFonts w:ascii="宋体" w:hAnsi="宋体"/>
                <w:color w:val="auto"/>
                <w:sz w:val="28"/>
                <w:szCs w:val="28"/>
                <w:highlight w:val="none"/>
              </w:rPr>
            </w:pPr>
          </w:p>
        </w:tc>
      </w:tr>
      <w:tr w14:paraId="2159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75CA21B0">
            <w:pPr>
              <w:spacing w:line="480" w:lineRule="auto"/>
              <w:rPr>
                <w:rFonts w:ascii="宋体" w:hAnsi="宋体"/>
                <w:color w:val="auto"/>
                <w:sz w:val="28"/>
                <w:szCs w:val="28"/>
                <w:highlight w:val="none"/>
              </w:rPr>
            </w:pPr>
          </w:p>
        </w:tc>
        <w:tc>
          <w:tcPr>
            <w:tcW w:w="1344" w:type="dxa"/>
          </w:tcPr>
          <w:p w14:paraId="7617174B">
            <w:pPr>
              <w:spacing w:line="480" w:lineRule="auto"/>
              <w:rPr>
                <w:rFonts w:ascii="宋体" w:hAnsi="宋体"/>
                <w:color w:val="auto"/>
                <w:sz w:val="28"/>
                <w:szCs w:val="28"/>
                <w:highlight w:val="none"/>
              </w:rPr>
            </w:pPr>
          </w:p>
        </w:tc>
        <w:tc>
          <w:tcPr>
            <w:tcW w:w="881" w:type="dxa"/>
          </w:tcPr>
          <w:p w14:paraId="373F5393">
            <w:pPr>
              <w:spacing w:line="480" w:lineRule="auto"/>
              <w:rPr>
                <w:rFonts w:ascii="宋体" w:hAnsi="宋体"/>
                <w:color w:val="auto"/>
                <w:sz w:val="28"/>
                <w:szCs w:val="28"/>
                <w:highlight w:val="none"/>
              </w:rPr>
            </w:pPr>
          </w:p>
        </w:tc>
        <w:tc>
          <w:tcPr>
            <w:tcW w:w="960" w:type="dxa"/>
          </w:tcPr>
          <w:p w14:paraId="7DB7C4D5">
            <w:pPr>
              <w:spacing w:line="480" w:lineRule="auto"/>
              <w:rPr>
                <w:rFonts w:ascii="宋体" w:hAnsi="宋体"/>
                <w:color w:val="auto"/>
                <w:sz w:val="28"/>
                <w:szCs w:val="28"/>
                <w:highlight w:val="none"/>
              </w:rPr>
            </w:pPr>
          </w:p>
        </w:tc>
        <w:tc>
          <w:tcPr>
            <w:tcW w:w="1147" w:type="dxa"/>
          </w:tcPr>
          <w:p w14:paraId="098E9E7B">
            <w:pPr>
              <w:spacing w:line="480" w:lineRule="auto"/>
              <w:rPr>
                <w:rFonts w:ascii="宋体" w:hAnsi="宋体"/>
                <w:color w:val="auto"/>
                <w:sz w:val="28"/>
                <w:szCs w:val="28"/>
                <w:highlight w:val="none"/>
              </w:rPr>
            </w:pPr>
          </w:p>
        </w:tc>
        <w:tc>
          <w:tcPr>
            <w:tcW w:w="1265" w:type="dxa"/>
          </w:tcPr>
          <w:p w14:paraId="0F1191D3">
            <w:pPr>
              <w:spacing w:line="480" w:lineRule="auto"/>
              <w:rPr>
                <w:rFonts w:ascii="宋体" w:hAnsi="宋体"/>
                <w:color w:val="auto"/>
                <w:sz w:val="28"/>
                <w:szCs w:val="28"/>
                <w:highlight w:val="none"/>
              </w:rPr>
            </w:pPr>
          </w:p>
        </w:tc>
        <w:tc>
          <w:tcPr>
            <w:tcW w:w="2510" w:type="dxa"/>
          </w:tcPr>
          <w:p w14:paraId="511D79BE">
            <w:pPr>
              <w:spacing w:line="480" w:lineRule="auto"/>
              <w:rPr>
                <w:rFonts w:ascii="宋体" w:hAnsi="宋体"/>
                <w:color w:val="auto"/>
                <w:sz w:val="28"/>
                <w:szCs w:val="28"/>
                <w:highlight w:val="none"/>
              </w:rPr>
            </w:pPr>
          </w:p>
        </w:tc>
      </w:tr>
      <w:tr w14:paraId="24C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5073D7B0">
            <w:pPr>
              <w:spacing w:line="480" w:lineRule="auto"/>
              <w:rPr>
                <w:rFonts w:ascii="宋体" w:hAnsi="宋体"/>
                <w:color w:val="auto"/>
                <w:sz w:val="28"/>
                <w:szCs w:val="28"/>
                <w:highlight w:val="none"/>
              </w:rPr>
            </w:pPr>
          </w:p>
        </w:tc>
        <w:tc>
          <w:tcPr>
            <w:tcW w:w="1344" w:type="dxa"/>
          </w:tcPr>
          <w:p w14:paraId="7EB61DF1">
            <w:pPr>
              <w:spacing w:line="480" w:lineRule="auto"/>
              <w:rPr>
                <w:rFonts w:ascii="宋体" w:hAnsi="宋体"/>
                <w:color w:val="auto"/>
                <w:sz w:val="28"/>
                <w:szCs w:val="28"/>
                <w:highlight w:val="none"/>
              </w:rPr>
            </w:pPr>
          </w:p>
        </w:tc>
        <w:tc>
          <w:tcPr>
            <w:tcW w:w="881" w:type="dxa"/>
          </w:tcPr>
          <w:p w14:paraId="78ED5511">
            <w:pPr>
              <w:spacing w:line="480" w:lineRule="auto"/>
              <w:rPr>
                <w:rFonts w:ascii="宋体" w:hAnsi="宋体"/>
                <w:color w:val="auto"/>
                <w:sz w:val="28"/>
                <w:szCs w:val="28"/>
                <w:highlight w:val="none"/>
              </w:rPr>
            </w:pPr>
          </w:p>
        </w:tc>
        <w:tc>
          <w:tcPr>
            <w:tcW w:w="960" w:type="dxa"/>
          </w:tcPr>
          <w:p w14:paraId="62C12E51">
            <w:pPr>
              <w:spacing w:line="480" w:lineRule="auto"/>
              <w:rPr>
                <w:rFonts w:ascii="宋体" w:hAnsi="宋体"/>
                <w:color w:val="auto"/>
                <w:sz w:val="28"/>
                <w:szCs w:val="28"/>
                <w:highlight w:val="none"/>
              </w:rPr>
            </w:pPr>
          </w:p>
        </w:tc>
        <w:tc>
          <w:tcPr>
            <w:tcW w:w="1147" w:type="dxa"/>
          </w:tcPr>
          <w:p w14:paraId="3DFB68AD">
            <w:pPr>
              <w:spacing w:line="480" w:lineRule="auto"/>
              <w:rPr>
                <w:rFonts w:ascii="宋体" w:hAnsi="宋体"/>
                <w:color w:val="auto"/>
                <w:sz w:val="28"/>
                <w:szCs w:val="28"/>
                <w:highlight w:val="none"/>
              </w:rPr>
            </w:pPr>
          </w:p>
        </w:tc>
        <w:tc>
          <w:tcPr>
            <w:tcW w:w="1265" w:type="dxa"/>
          </w:tcPr>
          <w:p w14:paraId="29303EC3">
            <w:pPr>
              <w:spacing w:line="480" w:lineRule="auto"/>
              <w:rPr>
                <w:rFonts w:ascii="宋体" w:hAnsi="宋体"/>
                <w:color w:val="auto"/>
                <w:sz w:val="28"/>
                <w:szCs w:val="28"/>
                <w:highlight w:val="none"/>
              </w:rPr>
            </w:pPr>
          </w:p>
        </w:tc>
        <w:tc>
          <w:tcPr>
            <w:tcW w:w="2510" w:type="dxa"/>
          </w:tcPr>
          <w:p w14:paraId="3A750106">
            <w:pPr>
              <w:spacing w:line="480" w:lineRule="auto"/>
              <w:rPr>
                <w:rFonts w:ascii="宋体" w:hAnsi="宋体"/>
                <w:color w:val="auto"/>
                <w:sz w:val="28"/>
                <w:szCs w:val="28"/>
                <w:highlight w:val="none"/>
              </w:rPr>
            </w:pPr>
          </w:p>
        </w:tc>
      </w:tr>
      <w:tr w14:paraId="21B1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EA9B374">
            <w:pPr>
              <w:spacing w:line="480" w:lineRule="auto"/>
              <w:rPr>
                <w:rFonts w:ascii="宋体" w:hAnsi="宋体"/>
                <w:color w:val="auto"/>
                <w:sz w:val="28"/>
                <w:szCs w:val="28"/>
                <w:highlight w:val="none"/>
              </w:rPr>
            </w:pPr>
          </w:p>
        </w:tc>
        <w:tc>
          <w:tcPr>
            <w:tcW w:w="1344" w:type="dxa"/>
          </w:tcPr>
          <w:p w14:paraId="012A45A1">
            <w:pPr>
              <w:spacing w:line="480" w:lineRule="auto"/>
              <w:rPr>
                <w:rFonts w:ascii="宋体" w:hAnsi="宋体"/>
                <w:color w:val="auto"/>
                <w:sz w:val="28"/>
                <w:szCs w:val="28"/>
                <w:highlight w:val="none"/>
              </w:rPr>
            </w:pPr>
          </w:p>
        </w:tc>
        <w:tc>
          <w:tcPr>
            <w:tcW w:w="881" w:type="dxa"/>
          </w:tcPr>
          <w:p w14:paraId="357F426D">
            <w:pPr>
              <w:spacing w:line="480" w:lineRule="auto"/>
              <w:rPr>
                <w:rFonts w:ascii="宋体" w:hAnsi="宋体"/>
                <w:color w:val="auto"/>
                <w:sz w:val="28"/>
                <w:szCs w:val="28"/>
                <w:highlight w:val="none"/>
              </w:rPr>
            </w:pPr>
          </w:p>
        </w:tc>
        <w:tc>
          <w:tcPr>
            <w:tcW w:w="960" w:type="dxa"/>
          </w:tcPr>
          <w:p w14:paraId="203A09B6">
            <w:pPr>
              <w:spacing w:line="480" w:lineRule="auto"/>
              <w:rPr>
                <w:rFonts w:ascii="宋体" w:hAnsi="宋体"/>
                <w:color w:val="auto"/>
                <w:sz w:val="28"/>
                <w:szCs w:val="28"/>
                <w:highlight w:val="none"/>
              </w:rPr>
            </w:pPr>
          </w:p>
        </w:tc>
        <w:tc>
          <w:tcPr>
            <w:tcW w:w="1147" w:type="dxa"/>
          </w:tcPr>
          <w:p w14:paraId="79C424E3">
            <w:pPr>
              <w:spacing w:line="480" w:lineRule="auto"/>
              <w:rPr>
                <w:rFonts w:ascii="宋体" w:hAnsi="宋体"/>
                <w:color w:val="auto"/>
                <w:sz w:val="28"/>
                <w:szCs w:val="28"/>
                <w:highlight w:val="none"/>
              </w:rPr>
            </w:pPr>
          </w:p>
        </w:tc>
        <w:tc>
          <w:tcPr>
            <w:tcW w:w="1265" w:type="dxa"/>
          </w:tcPr>
          <w:p w14:paraId="3175ED77">
            <w:pPr>
              <w:spacing w:line="480" w:lineRule="auto"/>
              <w:rPr>
                <w:rFonts w:ascii="宋体" w:hAnsi="宋体"/>
                <w:color w:val="auto"/>
                <w:sz w:val="28"/>
                <w:szCs w:val="28"/>
                <w:highlight w:val="none"/>
              </w:rPr>
            </w:pPr>
          </w:p>
        </w:tc>
        <w:tc>
          <w:tcPr>
            <w:tcW w:w="2510" w:type="dxa"/>
          </w:tcPr>
          <w:p w14:paraId="2481CF20">
            <w:pPr>
              <w:spacing w:line="480" w:lineRule="auto"/>
              <w:rPr>
                <w:rFonts w:ascii="宋体" w:hAnsi="宋体"/>
                <w:color w:val="auto"/>
                <w:sz w:val="28"/>
                <w:szCs w:val="28"/>
                <w:highlight w:val="none"/>
              </w:rPr>
            </w:pPr>
          </w:p>
        </w:tc>
      </w:tr>
      <w:tr w14:paraId="2EA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6089EEF7">
            <w:pPr>
              <w:spacing w:line="480" w:lineRule="auto"/>
              <w:rPr>
                <w:rFonts w:ascii="宋体" w:hAnsi="宋体"/>
                <w:color w:val="auto"/>
                <w:sz w:val="28"/>
                <w:szCs w:val="28"/>
                <w:highlight w:val="none"/>
              </w:rPr>
            </w:pPr>
          </w:p>
        </w:tc>
        <w:tc>
          <w:tcPr>
            <w:tcW w:w="1344" w:type="dxa"/>
          </w:tcPr>
          <w:p w14:paraId="5D58DBCE">
            <w:pPr>
              <w:spacing w:line="480" w:lineRule="auto"/>
              <w:rPr>
                <w:rFonts w:ascii="宋体" w:hAnsi="宋体"/>
                <w:color w:val="auto"/>
                <w:sz w:val="28"/>
                <w:szCs w:val="28"/>
                <w:highlight w:val="none"/>
              </w:rPr>
            </w:pPr>
          </w:p>
        </w:tc>
        <w:tc>
          <w:tcPr>
            <w:tcW w:w="881" w:type="dxa"/>
          </w:tcPr>
          <w:p w14:paraId="7691B8E3">
            <w:pPr>
              <w:spacing w:line="480" w:lineRule="auto"/>
              <w:rPr>
                <w:rFonts w:ascii="宋体" w:hAnsi="宋体"/>
                <w:color w:val="auto"/>
                <w:sz w:val="28"/>
                <w:szCs w:val="28"/>
                <w:highlight w:val="none"/>
              </w:rPr>
            </w:pPr>
          </w:p>
        </w:tc>
        <w:tc>
          <w:tcPr>
            <w:tcW w:w="960" w:type="dxa"/>
          </w:tcPr>
          <w:p w14:paraId="3ADBD948">
            <w:pPr>
              <w:spacing w:line="480" w:lineRule="auto"/>
              <w:rPr>
                <w:rFonts w:ascii="宋体" w:hAnsi="宋体"/>
                <w:color w:val="auto"/>
                <w:sz w:val="28"/>
                <w:szCs w:val="28"/>
                <w:highlight w:val="none"/>
              </w:rPr>
            </w:pPr>
          </w:p>
        </w:tc>
        <w:tc>
          <w:tcPr>
            <w:tcW w:w="1147" w:type="dxa"/>
          </w:tcPr>
          <w:p w14:paraId="1DE3BCD0">
            <w:pPr>
              <w:spacing w:line="480" w:lineRule="auto"/>
              <w:rPr>
                <w:rFonts w:ascii="宋体" w:hAnsi="宋体"/>
                <w:color w:val="auto"/>
                <w:sz w:val="28"/>
                <w:szCs w:val="28"/>
                <w:highlight w:val="none"/>
              </w:rPr>
            </w:pPr>
          </w:p>
        </w:tc>
        <w:tc>
          <w:tcPr>
            <w:tcW w:w="1265" w:type="dxa"/>
          </w:tcPr>
          <w:p w14:paraId="128F5421">
            <w:pPr>
              <w:spacing w:line="480" w:lineRule="auto"/>
              <w:rPr>
                <w:rFonts w:ascii="宋体" w:hAnsi="宋体"/>
                <w:color w:val="auto"/>
                <w:sz w:val="28"/>
                <w:szCs w:val="28"/>
                <w:highlight w:val="none"/>
              </w:rPr>
            </w:pPr>
          </w:p>
        </w:tc>
        <w:tc>
          <w:tcPr>
            <w:tcW w:w="2510" w:type="dxa"/>
          </w:tcPr>
          <w:p w14:paraId="32C372A2">
            <w:pPr>
              <w:spacing w:line="480" w:lineRule="auto"/>
              <w:rPr>
                <w:rFonts w:ascii="宋体" w:hAnsi="宋体"/>
                <w:color w:val="auto"/>
                <w:sz w:val="28"/>
                <w:szCs w:val="28"/>
                <w:highlight w:val="none"/>
              </w:rPr>
            </w:pPr>
          </w:p>
        </w:tc>
      </w:tr>
      <w:tr w14:paraId="2C3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32735815">
            <w:pPr>
              <w:spacing w:line="480" w:lineRule="auto"/>
              <w:rPr>
                <w:rFonts w:ascii="宋体" w:hAnsi="宋体"/>
                <w:color w:val="auto"/>
                <w:sz w:val="28"/>
                <w:szCs w:val="28"/>
                <w:highlight w:val="none"/>
              </w:rPr>
            </w:pPr>
          </w:p>
        </w:tc>
        <w:tc>
          <w:tcPr>
            <w:tcW w:w="1344" w:type="dxa"/>
          </w:tcPr>
          <w:p w14:paraId="33E9BD46">
            <w:pPr>
              <w:spacing w:line="480" w:lineRule="auto"/>
              <w:rPr>
                <w:rFonts w:ascii="宋体" w:hAnsi="宋体"/>
                <w:color w:val="auto"/>
                <w:sz w:val="28"/>
                <w:szCs w:val="28"/>
                <w:highlight w:val="none"/>
              </w:rPr>
            </w:pPr>
          </w:p>
        </w:tc>
        <w:tc>
          <w:tcPr>
            <w:tcW w:w="881" w:type="dxa"/>
          </w:tcPr>
          <w:p w14:paraId="4BF5A7E4">
            <w:pPr>
              <w:spacing w:line="480" w:lineRule="auto"/>
              <w:rPr>
                <w:rFonts w:ascii="宋体" w:hAnsi="宋体"/>
                <w:color w:val="auto"/>
                <w:sz w:val="28"/>
                <w:szCs w:val="28"/>
                <w:highlight w:val="none"/>
              </w:rPr>
            </w:pPr>
          </w:p>
        </w:tc>
        <w:tc>
          <w:tcPr>
            <w:tcW w:w="960" w:type="dxa"/>
          </w:tcPr>
          <w:p w14:paraId="2E1B9B64">
            <w:pPr>
              <w:spacing w:line="480" w:lineRule="auto"/>
              <w:rPr>
                <w:rFonts w:ascii="宋体" w:hAnsi="宋体"/>
                <w:color w:val="auto"/>
                <w:sz w:val="28"/>
                <w:szCs w:val="28"/>
                <w:highlight w:val="none"/>
              </w:rPr>
            </w:pPr>
          </w:p>
        </w:tc>
        <w:tc>
          <w:tcPr>
            <w:tcW w:w="1147" w:type="dxa"/>
          </w:tcPr>
          <w:p w14:paraId="2AC96522">
            <w:pPr>
              <w:spacing w:line="480" w:lineRule="auto"/>
              <w:rPr>
                <w:rFonts w:ascii="宋体" w:hAnsi="宋体"/>
                <w:color w:val="auto"/>
                <w:sz w:val="28"/>
                <w:szCs w:val="28"/>
                <w:highlight w:val="none"/>
              </w:rPr>
            </w:pPr>
          </w:p>
        </w:tc>
        <w:tc>
          <w:tcPr>
            <w:tcW w:w="1265" w:type="dxa"/>
          </w:tcPr>
          <w:p w14:paraId="58DD93DB">
            <w:pPr>
              <w:spacing w:line="480" w:lineRule="auto"/>
              <w:rPr>
                <w:rFonts w:ascii="宋体" w:hAnsi="宋体"/>
                <w:color w:val="auto"/>
                <w:sz w:val="28"/>
                <w:szCs w:val="28"/>
                <w:highlight w:val="none"/>
              </w:rPr>
            </w:pPr>
          </w:p>
        </w:tc>
        <w:tc>
          <w:tcPr>
            <w:tcW w:w="2510" w:type="dxa"/>
          </w:tcPr>
          <w:p w14:paraId="670B7DBA">
            <w:pPr>
              <w:spacing w:line="480" w:lineRule="auto"/>
              <w:rPr>
                <w:rFonts w:ascii="宋体" w:hAnsi="宋体"/>
                <w:color w:val="auto"/>
                <w:sz w:val="28"/>
                <w:szCs w:val="28"/>
                <w:highlight w:val="none"/>
              </w:rPr>
            </w:pPr>
          </w:p>
        </w:tc>
      </w:tr>
    </w:tbl>
    <w:p w14:paraId="04E659EB">
      <w:pPr>
        <w:jc w:val="both"/>
        <w:rPr>
          <w:rFonts w:hint="eastAsia" w:ascii="宋体" w:hAnsi="宋体" w:eastAsia="宋体" w:cs="宋体"/>
          <w:b/>
          <w:bCs/>
          <w:color w:val="auto"/>
          <w:kern w:val="0"/>
          <w:sz w:val="24"/>
          <w:szCs w:val="24"/>
          <w:highlight w:val="none"/>
          <w:lang w:val="en-US" w:eastAsia="zh-CN" w:bidi="ar-SA"/>
        </w:rPr>
      </w:pPr>
    </w:p>
    <w:p w14:paraId="6B6C3AAC">
      <w:pPr>
        <w:jc w:val="both"/>
        <w:rPr>
          <w:rFonts w:hint="eastAsia" w:ascii="宋体" w:hAnsi="宋体" w:eastAsia="宋体" w:cs="宋体"/>
          <w:b/>
          <w:bCs/>
          <w:color w:val="auto"/>
          <w:kern w:val="0"/>
          <w:sz w:val="24"/>
          <w:szCs w:val="24"/>
          <w:highlight w:val="none"/>
          <w:lang w:val="en-US" w:eastAsia="zh-CN" w:bidi="ar-SA"/>
        </w:rPr>
      </w:pPr>
    </w:p>
    <w:p w14:paraId="25057D56">
      <w:pPr>
        <w:jc w:val="both"/>
        <w:rPr>
          <w:rFonts w:hint="eastAsia" w:ascii="宋体" w:hAnsi="宋体" w:eastAsia="宋体" w:cs="宋体"/>
          <w:b/>
          <w:bCs/>
          <w:color w:val="auto"/>
          <w:kern w:val="0"/>
          <w:sz w:val="24"/>
          <w:szCs w:val="24"/>
          <w:highlight w:val="none"/>
          <w:lang w:val="en-US" w:eastAsia="zh-CN" w:bidi="ar-SA"/>
        </w:rPr>
      </w:pPr>
    </w:p>
    <w:p w14:paraId="46A06CF2">
      <w:pPr>
        <w:jc w:val="both"/>
        <w:rPr>
          <w:rFonts w:hint="eastAsia" w:ascii="宋体" w:hAnsi="宋体" w:eastAsia="宋体" w:cs="宋体"/>
          <w:b/>
          <w:bCs/>
          <w:color w:val="auto"/>
          <w:kern w:val="0"/>
          <w:sz w:val="24"/>
          <w:szCs w:val="24"/>
          <w:highlight w:val="none"/>
          <w:lang w:val="en-US" w:eastAsia="zh-CN" w:bidi="ar-SA"/>
        </w:rPr>
      </w:pPr>
    </w:p>
    <w:p w14:paraId="5F972D56">
      <w:pPr>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附件</w:t>
      </w:r>
      <w:r>
        <w:rPr>
          <w:rFonts w:hint="eastAsia" w:ascii="宋体" w:hAnsi="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zh-CN" w:bidi="ar-SA"/>
        </w:rPr>
        <w:t>：</w:t>
      </w:r>
    </w:p>
    <w:p w14:paraId="696E198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服务承诺函</w:t>
      </w:r>
    </w:p>
    <w:p w14:paraId="712C2E8D">
      <w:pPr>
        <w:pStyle w:val="11"/>
        <w:spacing w:before="0" w:beforeAutospacing="0" w:after="0" w:afterAutospacing="0" w:line="560" w:lineRule="exact"/>
        <w:jc w:val="both"/>
        <w:rPr>
          <w:rFonts w:hint="eastAsia" w:ascii="宋体" w:hAnsi="宋体" w:eastAsia="宋体" w:cs="宋体"/>
          <w:b/>
          <w:color w:val="auto"/>
          <w:sz w:val="22"/>
          <w:szCs w:val="22"/>
          <w:highlight w:val="none"/>
          <w:u w:val="single"/>
        </w:rPr>
      </w:pPr>
      <w:r>
        <w:rPr>
          <w:rFonts w:hint="eastAsia" w:cs="宋体"/>
          <w:color w:val="auto"/>
          <w:sz w:val="22"/>
          <w:szCs w:val="22"/>
          <w:highlight w:val="none"/>
          <w:u w:val="single"/>
          <w:lang w:eastAsia="zh-CN"/>
        </w:rPr>
        <w:t>江苏东能天然气管网有限公司</w:t>
      </w:r>
      <w:r>
        <w:rPr>
          <w:rFonts w:hint="eastAsia" w:ascii="宋体" w:hAnsi="宋体" w:eastAsia="宋体" w:cs="宋体"/>
          <w:bCs/>
          <w:color w:val="auto"/>
          <w:sz w:val="22"/>
          <w:szCs w:val="22"/>
          <w:highlight w:val="none"/>
          <w:u w:val="single"/>
        </w:rPr>
        <w:t xml:space="preserve"> ：</w:t>
      </w:r>
    </w:p>
    <w:p w14:paraId="770261A5">
      <w:pPr>
        <w:pStyle w:val="3"/>
        <w:spacing w:line="480" w:lineRule="exact"/>
        <w:ind w:firstLine="0"/>
        <w:rPr>
          <w:rFonts w:hint="eastAsia" w:ascii="Arial" w:hAnsi="Arial" w:eastAsia="宋体" w:cs="Arial"/>
          <w:color w:val="auto"/>
          <w:kern w:val="2"/>
          <w:sz w:val="22"/>
          <w:szCs w:val="22"/>
          <w:highlight w:val="none"/>
          <w:lang w:val="en-US" w:eastAsia="zh-CN"/>
        </w:rPr>
      </w:pPr>
      <w:r>
        <w:rPr>
          <w:rFonts w:hint="eastAsia" w:ascii="宋体" w:hAnsi="宋体" w:cs="宋体"/>
          <w:color w:val="auto"/>
          <w:sz w:val="22"/>
          <w:szCs w:val="22"/>
          <w:highlight w:val="none"/>
          <w:lang w:val="en-US" w:eastAsia="zh-CN"/>
        </w:rPr>
        <w:t xml:space="preserve">    1、我单位承诺在项目服务期内，</w:t>
      </w:r>
      <w:r>
        <w:rPr>
          <w:rFonts w:hint="eastAsia" w:ascii="宋体" w:hAnsi="宋体" w:eastAsia="宋体" w:cs="宋体"/>
          <w:b w:val="0"/>
          <w:bCs w:val="0"/>
          <w:color w:val="auto"/>
          <w:sz w:val="22"/>
          <w:szCs w:val="22"/>
          <w:highlight w:val="none"/>
          <w:lang w:eastAsia="zh-CN"/>
        </w:rPr>
        <w:t>人员场所位置：</w:t>
      </w:r>
      <w:r>
        <w:rPr>
          <w:rFonts w:hint="eastAsia" w:ascii="Arial" w:hAnsi="Arial" w:eastAsia="宋体" w:cs="Arial"/>
          <w:color w:val="auto"/>
          <w:kern w:val="2"/>
          <w:sz w:val="22"/>
          <w:szCs w:val="22"/>
          <w:highlight w:val="none"/>
          <w:lang w:val="en-US" w:eastAsia="zh-CN"/>
        </w:rPr>
        <w:t>响应到达时间可满足先遣人员到达时间≤1.5小时，抢险人员与设备到达时间≤2小时；若我单位人员及设备未在上述响应时限内到达指定地点，我单位自愿接受采购人的处罚。</w:t>
      </w:r>
    </w:p>
    <w:p w14:paraId="34038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2、我单位承诺中标后将下表中的设备存放至所承诺的场所位置处。</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52F9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C90E8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193859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1F47AD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6BE94E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058A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5652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681A99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CB13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3D4D7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90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94C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27CD3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088402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1F88C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BEC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2B4C8A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2AF815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3DCF15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B8EC3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9FC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AA06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746332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0336D1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1F7FE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83C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1586C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11FF1C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47EEC2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1974F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4104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FEFEF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598CB4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251DFA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445FEA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378A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0DF7B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2A7088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1EEBAE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4E33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AEF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7F899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6DB751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14BEB0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FA3A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40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34B81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5B0839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33B788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832F1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8BA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BDCE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11772A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56682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4D983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088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22D8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54039C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2613DD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0BBD9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D7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0899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1A35A4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34744C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9796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154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6915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F82E1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72F8EC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AD38E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217305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注：1.投标人承诺的设备配置不得低于“4.最低设备配置要求”，否则作无效标处理。</w:t>
      </w:r>
    </w:p>
    <w:p w14:paraId="0FEE19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2.此表由投标人结合“第二部分   采购项目要求”中的“4.最低设备配置要求”及投标人自身情况进行填写，若由于填写不全等原因被评定为“设备配置要求低于最低设备配置要求”，则作无效标处理。由此产生的一切后果由投标人自行承担。</w:t>
      </w:r>
    </w:p>
    <w:p w14:paraId="729183B5">
      <w:pPr>
        <w:pStyle w:val="3"/>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59882980">
      <w:pPr>
        <w:pStyle w:val="3"/>
        <w:spacing w:line="480" w:lineRule="exact"/>
        <w:ind w:firstLine="480" w:firstLineChars="200"/>
        <w:rPr>
          <w:rFonts w:hint="eastAsia" w:ascii="宋体" w:hAnsi="宋体" w:eastAsia="宋体" w:cs="宋体"/>
          <w:color w:val="auto"/>
          <w:sz w:val="24"/>
          <w:szCs w:val="24"/>
          <w:highlight w:val="none"/>
          <w:u w:val="single"/>
        </w:rPr>
      </w:pPr>
    </w:p>
    <w:p w14:paraId="2B1B2412">
      <w:pPr>
        <w:pStyle w:val="3"/>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2668C">
      <w:pPr>
        <w:ind w:firstLine="3120" w:firstLineChars="1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1B5837">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A4E4594">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b/>
          <w:bCs/>
          <w:color w:val="auto"/>
          <w:kern w:val="0"/>
          <w:sz w:val="30"/>
          <w:szCs w:val="30"/>
          <w:highlight w:val="none"/>
          <w:lang w:val="en-US" w:eastAsia="zh-CN" w:bidi="ar-SA"/>
        </w:rPr>
        <w:t>附件</w:t>
      </w:r>
      <w:r>
        <w:rPr>
          <w:rFonts w:hint="eastAsia" w:ascii="宋体" w:hAnsi="宋体" w:cs="宋体"/>
          <w:b/>
          <w:bCs/>
          <w:color w:val="auto"/>
          <w:kern w:val="0"/>
          <w:sz w:val="30"/>
          <w:szCs w:val="30"/>
          <w:highlight w:val="none"/>
          <w:lang w:val="en-US" w:eastAsia="zh-CN" w:bidi="ar-SA"/>
        </w:rPr>
        <w:t>七</w:t>
      </w:r>
      <w:r>
        <w:rPr>
          <w:rFonts w:hint="eastAsia" w:ascii="宋体" w:hAnsi="宋体" w:eastAsia="宋体" w:cs="宋体"/>
          <w:b/>
          <w:bCs/>
          <w:color w:val="auto"/>
          <w:kern w:val="0"/>
          <w:sz w:val="30"/>
          <w:szCs w:val="30"/>
          <w:highlight w:val="none"/>
          <w:lang w:val="en-US" w:eastAsia="zh-CN" w:bidi="ar-SA"/>
        </w:rPr>
        <w:t>：</w:t>
      </w:r>
    </w:p>
    <w:p w14:paraId="47260F83">
      <w:pPr>
        <w:jc w:val="both"/>
        <w:rPr>
          <w:rFonts w:hint="eastAsia" w:ascii="宋体" w:hAnsi="宋体" w:eastAsia="宋体" w:cs="宋体"/>
          <w:b/>
          <w:color w:val="auto"/>
          <w:sz w:val="36"/>
          <w:szCs w:val="36"/>
          <w:highlight w:val="none"/>
        </w:rPr>
      </w:pPr>
    </w:p>
    <w:p w14:paraId="2FBF05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3B4E54BF">
      <w:pPr>
        <w:rPr>
          <w:rFonts w:hint="eastAsia" w:ascii="宋体" w:hAnsi="宋体" w:eastAsia="宋体" w:cs="宋体"/>
          <w:color w:val="auto"/>
          <w:sz w:val="30"/>
          <w:szCs w:val="30"/>
          <w:highlight w:val="none"/>
        </w:rPr>
      </w:pPr>
    </w:p>
    <w:p w14:paraId="26B03B97">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江苏东能天然气管网有限公司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424402">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w:t>
      </w:r>
    </w:p>
    <w:p w14:paraId="440D6382">
      <w:pPr>
        <w:pStyle w:val="3"/>
        <w:spacing w:line="480" w:lineRule="exact"/>
        <w:ind w:left="0" w:leftChars="0" w:firstLine="48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4"/>
          <w:szCs w:val="24"/>
          <w:highlight w:val="none"/>
        </w:rPr>
        <w:t>二、我单位将遵照《中华人民共和国政府采购法》等有关规定，并根据该项目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的规定，经考察现场和研究</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后，</w:t>
      </w:r>
      <w:r>
        <w:rPr>
          <w:rFonts w:hint="eastAsia" w:ascii="宋体" w:hAnsi="宋体" w:eastAsia="宋体" w:cs="宋体"/>
          <w:b/>
          <w:bCs/>
          <w:color w:val="auto"/>
          <w:sz w:val="24"/>
          <w:szCs w:val="24"/>
          <w:highlight w:val="none"/>
        </w:rPr>
        <w:t>愿以人民币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大写）</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 xml:space="preserve">小写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的要求承包本次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7883F334">
      <w:pPr>
        <w:pStyle w:val="3"/>
        <w:spacing w:line="480" w:lineRule="exact"/>
        <w:ind w:firstLine="0"/>
        <w:rPr>
          <w:rFonts w:hint="eastAsia" w:ascii="宋体" w:hAnsi="宋体" w:eastAsia="宋体" w:cs="宋体"/>
          <w:color w:val="auto"/>
          <w:sz w:val="28"/>
          <w:szCs w:val="28"/>
          <w:highlight w:val="none"/>
        </w:rPr>
      </w:pPr>
    </w:p>
    <w:p w14:paraId="79C22992">
      <w:pPr>
        <w:spacing w:line="520" w:lineRule="exact"/>
        <w:ind w:firstLine="703" w:firstLineChars="250"/>
        <w:rPr>
          <w:rFonts w:hint="eastAsia" w:ascii="宋体" w:hAnsi="宋体" w:eastAsia="宋体" w:cs="宋体"/>
          <w:b/>
          <w:color w:val="auto"/>
          <w:sz w:val="28"/>
          <w:szCs w:val="28"/>
          <w:highlight w:val="none"/>
          <w:u w:val="single"/>
        </w:rPr>
      </w:pPr>
    </w:p>
    <w:p w14:paraId="4955899C">
      <w:pPr>
        <w:spacing w:line="520" w:lineRule="exact"/>
        <w:ind w:firstLine="700" w:firstLineChars="250"/>
        <w:rPr>
          <w:rFonts w:hint="eastAsia" w:ascii="宋体" w:hAnsi="宋体" w:eastAsia="宋体" w:cs="宋体"/>
          <w:color w:val="auto"/>
          <w:sz w:val="28"/>
          <w:szCs w:val="28"/>
          <w:highlight w:val="none"/>
        </w:rPr>
      </w:pPr>
    </w:p>
    <w:p w14:paraId="35A755D6">
      <w:pPr>
        <w:spacing w:line="520" w:lineRule="exact"/>
        <w:ind w:firstLine="700" w:firstLineChars="250"/>
        <w:rPr>
          <w:rFonts w:hint="eastAsia" w:ascii="宋体" w:hAnsi="宋体" w:eastAsia="宋体" w:cs="宋体"/>
          <w:color w:val="auto"/>
          <w:sz w:val="28"/>
          <w:szCs w:val="28"/>
          <w:highlight w:val="none"/>
        </w:rPr>
      </w:pPr>
    </w:p>
    <w:p w14:paraId="45392B3B">
      <w:pPr>
        <w:pStyle w:val="3"/>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6CD5B228">
      <w:pPr>
        <w:pStyle w:val="3"/>
        <w:spacing w:line="480" w:lineRule="exact"/>
        <w:ind w:firstLine="0"/>
        <w:rPr>
          <w:rFonts w:hint="eastAsia" w:ascii="宋体" w:hAnsi="宋体" w:eastAsia="宋体" w:cs="宋体"/>
          <w:color w:val="auto"/>
          <w:sz w:val="24"/>
          <w:szCs w:val="24"/>
          <w:highlight w:val="none"/>
        </w:rPr>
      </w:pPr>
    </w:p>
    <w:p w14:paraId="1A85981E">
      <w:pPr>
        <w:pStyle w:val="3"/>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0508BB">
      <w:pPr>
        <w:pStyle w:val="3"/>
        <w:spacing w:line="480" w:lineRule="exact"/>
        <w:ind w:firstLine="0"/>
        <w:rPr>
          <w:rFonts w:hint="eastAsia" w:ascii="宋体" w:hAnsi="宋体" w:eastAsia="宋体" w:cs="宋体"/>
          <w:color w:val="auto"/>
          <w:sz w:val="24"/>
          <w:szCs w:val="24"/>
          <w:highlight w:val="none"/>
        </w:rPr>
      </w:pPr>
    </w:p>
    <w:p w14:paraId="78EBD241">
      <w:pPr>
        <w:pStyle w:val="3"/>
        <w:spacing w:line="480" w:lineRule="exact"/>
        <w:ind w:firstLine="0"/>
        <w:jc w:val="right"/>
        <w:rPr>
          <w:rFonts w:hint="eastAsia" w:ascii="宋体" w:hAnsi="宋体" w:eastAsia="宋体" w:cs="宋体"/>
          <w:color w:val="auto"/>
          <w:sz w:val="24"/>
          <w:szCs w:val="24"/>
          <w:highlight w:val="none"/>
        </w:rPr>
      </w:pPr>
    </w:p>
    <w:p w14:paraId="1D1E2261">
      <w:pPr>
        <w:pStyle w:val="3"/>
        <w:spacing w:line="480" w:lineRule="exact"/>
        <w:ind w:firstLine="0"/>
        <w:jc w:val="right"/>
        <w:rPr>
          <w:rFonts w:hint="eastAsia" w:ascii="宋体" w:hAnsi="宋体" w:eastAsia="宋体" w:cs="宋体"/>
          <w:color w:val="auto"/>
          <w:sz w:val="24"/>
          <w:szCs w:val="24"/>
          <w:highlight w:val="none"/>
        </w:rPr>
      </w:pPr>
    </w:p>
    <w:p w14:paraId="07AAC238">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FC1CD5C">
      <w:pPr>
        <w:pStyle w:val="11"/>
        <w:spacing w:line="225" w:lineRule="atLeast"/>
        <w:jc w:val="both"/>
        <w:rPr>
          <w:rFonts w:hint="eastAsia" w:ascii="宋体" w:hAnsi="宋体" w:eastAsia="宋体" w:cs="宋体"/>
          <w:b/>
          <w:color w:val="auto"/>
          <w:highlight w:val="none"/>
        </w:rPr>
      </w:pPr>
    </w:p>
    <w:p w14:paraId="0BE3AFF5">
      <w:pPr>
        <w:numPr>
          <w:ilvl w:val="0"/>
          <w:numId w:val="3"/>
        </w:numP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color w:val="auto"/>
          <w:highlight w:val="none"/>
        </w:rPr>
        <w:br w:type="page"/>
      </w:r>
    </w:p>
    <w:p w14:paraId="7F7CDB57">
      <w:pPr>
        <w:rPr>
          <w:color w:val="auto"/>
          <w:sz w:val="28"/>
          <w:szCs w:val="28"/>
          <w:highlight w:val="none"/>
        </w:rPr>
      </w:pPr>
    </w:p>
    <w:p w14:paraId="74359739">
      <w:pPr>
        <w:jc w:val="center"/>
        <w:rPr>
          <w:rFonts w:hint="default" w:eastAsia="宋体"/>
          <w:color w:val="auto"/>
          <w:sz w:val="44"/>
          <w:szCs w:val="44"/>
          <w:highlight w:val="none"/>
          <w:lang w:val="en-US" w:eastAsia="zh-CN"/>
        </w:rPr>
      </w:pPr>
      <w:r>
        <w:rPr>
          <w:rFonts w:hint="eastAsia" w:ascii="宋体" w:hAnsi="宋体" w:eastAsia="宋体" w:cs="宋体"/>
          <w:b/>
          <w:bCs/>
          <w:color w:val="auto"/>
          <w:sz w:val="30"/>
          <w:szCs w:val="30"/>
          <w:highlight w:val="none"/>
          <w:lang w:val="en-US" w:eastAsia="zh-CN"/>
        </w:rPr>
        <w:t xml:space="preserve">第六部分  合同协议书 </w:t>
      </w:r>
      <w:r>
        <w:rPr>
          <w:rFonts w:hint="eastAsia"/>
          <w:color w:val="auto"/>
          <w:sz w:val="44"/>
          <w:szCs w:val="44"/>
          <w:highlight w:val="none"/>
          <w:lang w:val="en-US" w:eastAsia="zh-CN"/>
        </w:rPr>
        <w:t xml:space="preserve"> </w:t>
      </w:r>
    </w:p>
    <w:p w14:paraId="00E67D7B">
      <w:pPr>
        <w:jc w:val="center"/>
        <w:rPr>
          <w:color w:val="auto"/>
          <w:sz w:val="44"/>
          <w:szCs w:val="44"/>
          <w:highlight w:val="none"/>
        </w:rPr>
      </w:pPr>
    </w:p>
    <w:p w14:paraId="3C7622D4">
      <w:pPr>
        <w:jc w:val="center"/>
        <w:rPr>
          <w:color w:val="auto"/>
          <w:sz w:val="44"/>
          <w:szCs w:val="44"/>
          <w:highlight w:val="none"/>
        </w:rPr>
      </w:pPr>
    </w:p>
    <w:p w14:paraId="20F01237">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江苏东能天然气管网有限公司2024</w:t>
      </w:r>
      <w:r>
        <w:rPr>
          <w:rFonts w:hint="eastAsia" w:eastAsiaTheme="minorEastAsia"/>
          <w:color w:val="auto"/>
          <w:sz w:val="44"/>
          <w:szCs w:val="44"/>
          <w:highlight w:val="none"/>
          <w:lang w:val="en-US" w:eastAsia="zh-CN"/>
        </w:rPr>
        <w:t>-2025</w:t>
      </w:r>
      <w:r>
        <w:rPr>
          <w:rFonts w:hint="default" w:eastAsiaTheme="minorEastAsia"/>
          <w:color w:val="auto"/>
          <w:sz w:val="44"/>
          <w:szCs w:val="44"/>
          <w:highlight w:val="none"/>
          <w:lang w:val="en-US" w:eastAsia="zh-CN"/>
        </w:rPr>
        <w:t>年度</w:t>
      </w:r>
    </w:p>
    <w:p w14:paraId="3F99EABD">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应急抢修项目</w:t>
      </w:r>
    </w:p>
    <w:p w14:paraId="02EE4090">
      <w:pPr>
        <w:jc w:val="center"/>
        <w:rPr>
          <w:color w:val="auto"/>
          <w:sz w:val="44"/>
          <w:szCs w:val="44"/>
          <w:highlight w:val="none"/>
        </w:rPr>
      </w:pPr>
    </w:p>
    <w:p w14:paraId="4896849C">
      <w:pPr>
        <w:jc w:val="center"/>
        <w:rPr>
          <w:color w:val="auto"/>
          <w:sz w:val="48"/>
          <w:szCs w:val="48"/>
          <w:highlight w:val="none"/>
        </w:rPr>
      </w:pPr>
      <w:r>
        <w:rPr>
          <w:rFonts w:hint="eastAsia"/>
          <w:color w:val="auto"/>
          <w:sz w:val="48"/>
          <w:szCs w:val="48"/>
          <w:highlight w:val="none"/>
        </w:rPr>
        <w:t>委托合同</w:t>
      </w:r>
    </w:p>
    <w:p w14:paraId="77FB7136">
      <w:pPr>
        <w:rPr>
          <w:color w:val="auto"/>
          <w:sz w:val="28"/>
          <w:szCs w:val="28"/>
          <w:highlight w:val="none"/>
        </w:rPr>
      </w:pPr>
    </w:p>
    <w:p w14:paraId="73B9142F">
      <w:pPr>
        <w:rPr>
          <w:color w:val="auto"/>
          <w:sz w:val="28"/>
          <w:szCs w:val="28"/>
          <w:highlight w:val="none"/>
        </w:rPr>
      </w:pPr>
    </w:p>
    <w:p w14:paraId="11A62031">
      <w:pPr>
        <w:rPr>
          <w:color w:val="auto"/>
          <w:sz w:val="28"/>
          <w:szCs w:val="28"/>
          <w:highlight w:val="none"/>
        </w:rPr>
      </w:pPr>
    </w:p>
    <w:p w14:paraId="55247130">
      <w:pPr>
        <w:rPr>
          <w:color w:val="auto"/>
          <w:sz w:val="28"/>
          <w:szCs w:val="28"/>
          <w:highlight w:val="none"/>
        </w:rPr>
      </w:pPr>
    </w:p>
    <w:p w14:paraId="2D5B97C4">
      <w:pPr>
        <w:rPr>
          <w:color w:val="auto"/>
          <w:sz w:val="28"/>
          <w:szCs w:val="28"/>
          <w:highlight w:val="none"/>
        </w:rPr>
      </w:pPr>
    </w:p>
    <w:p w14:paraId="0C95487E">
      <w:pPr>
        <w:rPr>
          <w:color w:val="auto"/>
          <w:sz w:val="28"/>
          <w:szCs w:val="28"/>
          <w:highlight w:val="none"/>
        </w:rPr>
      </w:pPr>
    </w:p>
    <w:p w14:paraId="65AC13ED">
      <w:pPr>
        <w:rPr>
          <w:color w:val="auto"/>
          <w:sz w:val="28"/>
          <w:szCs w:val="28"/>
          <w:highlight w:val="none"/>
        </w:rPr>
      </w:pPr>
    </w:p>
    <w:p w14:paraId="276CC86F">
      <w:pPr>
        <w:rPr>
          <w:color w:val="auto"/>
          <w:sz w:val="28"/>
          <w:szCs w:val="28"/>
          <w:highlight w:val="none"/>
        </w:rPr>
      </w:pPr>
    </w:p>
    <w:p w14:paraId="33BF16AD">
      <w:pPr>
        <w:ind w:firstLine="560" w:firstLineChars="200"/>
        <w:rPr>
          <w:color w:val="auto"/>
          <w:sz w:val="28"/>
          <w:szCs w:val="28"/>
          <w:highlight w:val="none"/>
        </w:rPr>
      </w:pPr>
      <w:r>
        <w:rPr>
          <w:rFonts w:hint="eastAsia"/>
          <w:color w:val="auto"/>
          <w:sz w:val="28"/>
          <w:szCs w:val="28"/>
          <w:highlight w:val="none"/>
        </w:rPr>
        <w:t>甲方：江苏东能天然气管网有限公司</w:t>
      </w:r>
    </w:p>
    <w:p w14:paraId="35CD1298">
      <w:pPr>
        <w:ind w:firstLine="560" w:firstLineChars="200"/>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237818B">
      <w:pPr>
        <w:rPr>
          <w:color w:val="auto"/>
          <w:sz w:val="28"/>
          <w:szCs w:val="28"/>
          <w:highlight w:val="none"/>
        </w:rPr>
      </w:pPr>
      <w:r>
        <w:rPr>
          <w:rFonts w:hint="eastAsia"/>
          <w:color w:val="auto"/>
          <w:sz w:val="28"/>
          <w:szCs w:val="28"/>
          <w:highlight w:val="none"/>
        </w:rPr>
        <w:t xml:space="preserve">             </w:t>
      </w:r>
    </w:p>
    <w:p w14:paraId="77A8666F">
      <w:pPr>
        <w:ind w:firstLine="560" w:firstLineChars="200"/>
        <w:rPr>
          <w:color w:val="auto"/>
          <w:sz w:val="28"/>
          <w:szCs w:val="28"/>
          <w:highlight w:val="none"/>
        </w:rPr>
      </w:pPr>
      <w:r>
        <w:rPr>
          <w:rFonts w:hint="eastAsia"/>
          <w:color w:val="auto"/>
          <w:sz w:val="28"/>
          <w:szCs w:val="28"/>
          <w:highlight w:val="none"/>
        </w:rPr>
        <w:t>签订地点：江苏如东</w:t>
      </w:r>
    </w:p>
    <w:p w14:paraId="61E9E9B1">
      <w:pPr>
        <w:rPr>
          <w:color w:val="auto"/>
          <w:sz w:val="28"/>
          <w:szCs w:val="28"/>
          <w:highlight w:val="none"/>
        </w:rPr>
      </w:pPr>
    </w:p>
    <w:p w14:paraId="388500A0">
      <w:pPr>
        <w:jc w:val="center"/>
        <w:rPr>
          <w:rFonts w:hint="eastAsia"/>
          <w:color w:val="auto"/>
          <w:sz w:val="32"/>
          <w:szCs w:val="32"/>
          <w:highlight w:val="none"/>
        </w:rPr>
      </w:pPr>
    </w:p>
    <w:p w14:paraId="732749EA">
      <w:pPr>
        <w:jc w:val="center"/>
        <w:rPr>
          <w:rFonts w:hint="eastAsia" w:eastAsia="宋体"/>
          <w:color w:val="auto"/>
          <w:sz w:val="36"/>
          <w:szCs w:val="36"/>
          <w:highlight w:val="none"/>
          <w:lang w:eastAsia="zh-CN"/>
        </w:rPr>
      </w:pPr>
      <w:r>
        <w:rPr>
          <w:rFonts w:hint="eastAsia"/>
          <w:color w:val="auto"/>
          <w:sz w:val="36"/>
          <w:szCs w:val="36"/>
          <w:highlight w:val="none"/>
          <w:lang w:eastAsia="zh-CN"/>
        </w:rPr>
        <w:t>江苏东能天然气管网有限公司2024-2025年度应急抢修项目</w:t>
      </w:r>
    </w:p>
    <w:p w14:paraId="36C0550C">
      <w:pPr>
        <w:jc w:val="center"/>
        <w:rPr>
          <w:color w:val="auto"/>
          <w:sz w:val="36"/>
          <w:szCs w:val="36"/>
          <w:highlight w:val="none"/>
        </w:rPr>
      </w:pPr>
      <w:r>
        <w:rPr>
          <w:rFonts w:hint="eastAsia"/>
          <w:color w:val="auto"/>
          <w:sz w:val="36"/>
          <w:szCs w:val="36"/>
          <w:highlight w:val="none"/>
        </w:rPr>
        <w:t>委托合同</w:t>
      </w:r>
    </w:p>
    <w:p w14:paraId="124F5E40">
      <w:pPr>
        <w:ind w:firstLine="5040" w:firstLineChars="2100"/>
        <w:rPr>
          <w:rFonts w:hint="eastAsia" w:eastAsia="宋体"/>
          <w:color w:val="auto"/>
          <w:sz w:val="24"/>
          <w:szCs w:val="24"/>
          <w:highlight w:val="none"/>
          <w:lang w:eastAsia="zh-CN"/>
        </w:rPr>
      </w:pPr>
      <w:r>
        <w:rPr>
          <w:rFonts w:hint="eastAsia"/>
          <w:color w:val="auto"/>
          <w:sz w:val="24"/>
          <w:szCs w:val="24"/>
          <w:highlight w:val="none"/>
          <w:lang w:val="en-US" w:eastAsia="zh-CN"/>
        </w:rPr>
        <w:t xml:space="preserve">合同编号： </w:t>
      </w:r>
    </w:p>
    <w:p w14:paraId="1356E10D">
      <w:pPr>
        <w:rPr>
          <w:color w:val="auto"/>
          <w:sz w:val="28"/>
          <w:szCs w:val="28"/>
          <w:highlight w:val="none"/>
        </w:rPr>
      </w:pPr>
      <w:r>
        <w:rPr>
          <w:rFonts w:hint="eastAsia"/>
          <w:color w:val="auto"/>
          <w:sz w:val="28"/>
          <w:szCs w:val="28"/>
          <w:highlight w:val="none"/>
        </w:rPr>
        <w:t>甲方：江苏东能天然气管网有限公司</w:t>
      </w:r>
    </w:p>
    <w:p w14:paraId="1B1FEB53">
      <w:pPr>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EA92EF7">
      <w:pPr>
        <w:ind w:firstLine="560" w:firstLineChars="200"/>
        <w:rPr>
          <w:color w:val="auto"/>
          <w:sz w:val="28"/>
          <w:szCs w:val="28"/>
          <w:highlight w:val="none"/>
        </w:rPr>
      </w:pPr>
      <w:r>
        <w:rPr>
          <w:rFonts w:hint="eastAsia"/>
          <w:color w:val="auto"/>
          <w:sz w:val="28"/>
          <w:szCs w:val="28"/>
          <w:highlight w:val="none"/>
        </w:rPr>
        <w:t>根据《中华人民共和国合同法》等法律、法规的规定，基于平等、自愿、公平和诚实信用的原则，就江苏东能天然气管道、场站、</w:t>
      </w:r>
      <w:r>
        <w:rPr>
          <w:rFonts w:hint="eastAsia" w:ascii="Arial" w:hAnsi="Arial" w:eastAsia="宋体" w:cs="Arial"/>
          <w:color w:val="auto"/>
          <w:sz w:val="28"/>
          <w:szCs w:val="40"/>
          <w:highlight w:val="none"/>
        </w:rPr>
        <w:t>阀室</w:t>
      </w:r>
      <w:r>
        <w:rPr>
          <w:rFonts w:hint="eastAsia"/>
          <w:color w:val="auto"/>
          <w:sz w:val="28"/>
          <w:szCs w:val="28"/>
          <w:highlight w:val="none"/>
        </w:rPr>
        <w:t>各类设施</w:t>
      </w:r>
      <w:r>
        <w:rPr>
          <w:rFonts w:hint="eastAsia"/>
          <w:color w:val="auto"/>
          <w:sz w:val="28"/>
          <w:szCs w:val="28"/>
          <w:highlight w:val="none"/>
          <w:lang w:val="en-US" w:eastAsia="zh-CN"/>
        </w:rPr>
        <w:t>维护保驾</w:t>
      </w:r>
      <w:r>
        <w:rPr>
          <w:rFonts w:hint="eastAsia"/>
          <w:color w:val="auto"/>
          <w:sz w:val="28"/>
          <w:szCs w:val="28"/>
          <w:highlight w:val="none"/>
        </w:rPr>
        <w:t>服务业务，经协商一致达成本合同如下：</w:t>
      </w:r>
    </w:p>
    <w:p w14:paraId="7CB82A89">
      <w:pPr>
        <w:ind w:firstLine="560" w:firstLineChars="200"/>
        <w:rPr>
          <w:color w:val="auto"/>
          <w:sz w:val="28"/>
          <w:szCs w:val="28"/>
          <w:highlight w:val="none"/>
        </w:rPr>
      </w:pPr>
      <w:r>
        <w:rPr>
          <w:rFonts w:hint="eastAsia"/>
          <w:color w:val="auto"/>
          <w:sz w:val="28"/>
          <w:szCs w:val="28"/>
          <w:highlight w:val="none"/>
        </w:rPr>
        <w:t>一、</w:t>
      </w:r>
      <w:r>
        <w:rPr>
          <w:rFonts w:hint="eastAsia"/>
          <w:color w:val="auto"/>
          <w:sz w:val="28"/>
          <w:szCs w:val="28"/>
          <w:highlight w:val="none"/>
          <w:lang w:val="en-US" w:eastAsia="zh-CN"/>
        </w:rPr>
        <w:t>基本维护</w:t>
      </w:r>
      <w:r>
        <w:rPr>
          <w:rFonts w:hint="eastAsia"/>
          <w:color w:val="auto"/>
          <w:sz w:val="28"/>
          <w:szCs w:val="28"/>
          <w:highlight w:val="none"/>
        </w:rPr>
        <w:t>工作内容：</w:t>
      </w:r>
    </w:p>
    <w:p w14:paraId="7101DA7B">
      <w:pPr>
        <w:rPr>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lang w:eastAsia="zh-CN"/>
        </w:rPr>
        <w:t>甲方现有</w:t>
      </w:r>
      <w:r>
        <w:rPr>
          <w:rFonts w:hint="eastAsia"/>
          <w:color w:val="auto"/>
          <w:sz w:val="28"/>
          <w:szCs w:val="28"/>
          <w:highlight w:val="none"/>
        </w:rPr>
        <w:t>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6A18AA9F">
      <w:pPr>
        <w:ind w:firstLine="560" w:firstLineChars="200"/>
        <w:rPr>
          <w:color w:val="auto"/>
          <w:sz w:val="28"/>
          <w:szCs w:val="28"/>
          <w:highlight w:val="none"/>
        </w:rPr>
      </w:pPr>
      <w:r>
        <w:rPr>
          <w:rFonts w:hint="eastAsia"/>
          <w:color w:val="auto"/>
          <w:sz w:val="28"/>
          <w:szCs w:val="28"/>
          <w:highlight w:val="none"/>
        </w:rPr>
        <w:t>1、当管道干线本身发生穿孔、爆管、变形等损伤事故时，为尽快恢复生产，在管道本体上实施的各类</w:t>
      </w:r>
      <w:r>
        <w:rPr>
          <w:rFonts w:hint="eastAsia"/>
          <w:color w:val="auto"/>
          <w:sz w:val="28"/>
          <w:szCs w:val="28"/>
          <w:highlight w:val="none"/>
          <w:lang w:val="en-US" w:eastAsia="zh-CN"/>
        </w:rPr>
        <w:t>维护保驾、</w:t>
      </w:r>
      <w:r>
        <w:rPr>
          <w:rFonts w:hint="eastAsia"/>
          <w:color w:val="auto"/>
          <w:sz w:val="28"/>
          <w:szCs w:val="28"/>
          <w:highlight w:val="none"/>
        </w:rPr>
        <w:t>抢修作业。</w:t>
      </w:r>
    </w:p>
    <w:p w14:paraId="43CEAACB">
      <w:pPr>
        <w:ind w:firstLine="560" w:firstLineChars="200"/>
        <w:jc w:val="left"/>
        <w:rPr>
          <w:color w:val="auto"/>
          <w:sz w:val="28"/>
          <w:szCs w:val="28"/>
          <w:highlight w:val="none"/>
        </w:rPr>
      </w:pPr>
      <w:r>
        <w:rPr>
          <w:rFonts w:hint="eastAsia"/>
          <w:color w:val="auto"/>
          <w:sz w:val="28"/>
          <w:szCs w:val="28"/>
          <w:highlight w:val="none"/>
        </w:rPr>
        <w:t>2、由人为或自然灾害造成的崩塌、河岸边坡失稳等</w:t>
      </w:r>
      <w:r>
        <w:rPr>
          <w:rFonts w:hint="eastAsia" w:asciiTheme="minorEastAsia" w:hAnsiTheme="minorEastAsia"/>
          <w:color w:val="auto"/>
          <w:sz w:val="28"/>
          <w:szCs w:val="28"/>
          <w:highlight w:val="none"/>
        </w:rPr>
        <w:t>各种威胁管道设施安全运行的状况时，为确保管道安全而进行的各类应急抢险作业，以及对管道设施的修复抢修。</w:t>
      </w:r>
    </w:p>
    <w:p w14:paraId="46FF7652">
      <w:pPr>
        <w:ind w:firstLine="560" w:firstLineChars="200"/>
        <w:jc w:val="left"/>
        <w:rPr>
          <w:color w:val="auto"/>
          <w:sz w:val="28"/>
          <w:szCs w:val="28"/>
          <w:highlight w:val="none"/>
        </w:rPr>
      </w:pPr>
      <w:r>
        <w:rPr>
          <w:rFonts w:hint="eastAsia"/>
          <w:color w:val="auto"/>
          <w:sz w:val="28"/>
          <w:szCs w:val="28"/>
          <w:highlight w:val="none"/>
        </w:rPr>
        <w:t>3、</w:t>
      </w:r>
      <w:r>
        <w:rPr>
          <w:rFonts w:hint="eastAsia" w:asciiTheme="minorEastAsia" w:hAnsiTheme="minorEastAsia"/>
          <w:color w:val="auto"/>
          <w:sz w:val="28"/>
          <w:szCs w:val="28"/>
          <w:highlight w:val="none"/>
        </w:rPr>
        <w:t>当输气站和阀室的设备、设施、装置等发生事故时，为尽快恢复生产而实施的各类抢险抢修作业。</w:t>
      </w:r>
    </w:p>
    <w:p w14:paraId="0D6FD8EB">
      <w:pPr>
        <w:ind w:firstLine="560" w:firstLineChars="200"/>
        <w:jc w:val="left"/>
        <w:rPr>
          <w:rFonts w:hint="eastAsia"/>
          <w:color w:val="auto"/>
          <w:sz w:val="28"/>
          <w:szCs w:val="28"/>
          <w:highlight w:val="none"/>
        </w:rPr>
      </w:pPr>
      <w:r>
        <w:rPr>
          <w:rFonts w:hint="eastAsia"/>
          <w:color w:val="auto"/>
          <w:sz w:val="28"/>
          <w:szCs w:val="28"/>
          <w:highlight w:val="none"/>
        </w:rPr>
        <w:t>4、完成上述维抢修工作内容所列工作量需要配备的抢（维）修设备和器具的日常维护保养。</w:t>
      </w:r>
    </w:p>
    <w:p w14:paraId="6E79F271">
      <w:pPr>
        <w:ind w:firstLine="560" w:firstLineChars="200"/>
        <w:jc w:val="left"/>
        <w:rPr>
          <w:rFonts w:hint="default" w:eastAsia="宋体"/>
          <w:color w:val="auto"/>
          <w:sz w:val="28"/>
          <w:szCs w:val="28"/>
          <w:highlight w:val="none"/>
          <w:lang w:val="en-US" w:eastAsia="zh-CN"/>
        </w:rPr>
      </w:pPr>
      <w:r>
        <w:rPr>
          <w:rFonts w:hint="eastAsia"/>
          <w:color w:val="auto"/>
          <w:sz w:val="28"/>
          <w:szCs w:val="28"/>
          <w:highlight w:val="none"/>
          <w:lang w:val="en-US" w:eastAsia="zh-CN"/>
        </w:rPr>
        <w:t>5、参加甲方每年至少一次的应急预案的演练，不定期和甲方进行抢（维）修技术交流。</w:t>
      </w:r>
    </w:p>
    <w:p w14:paraId="04C182F8">
      <w:pPr>
        <w:ind w:firstLine="560" w:firstLineChars="200"/>
        <w:jc w:val="left"/>
        <w:rPr>
          <w:color w:val="auto"/>
          <w:sz w:val="28"/>
          <w:szCs w:val="28"/>
          <w:highlight w:val="none"/>
        </w:rPr>
      </w:pPr>
      <w:r>
        <w:rPr>
          <w:rFonts w:hint="eastAsia"/>
          <w:color w:val="auto"/>
          <w:sz w:val="28"/>
          <w:szCs w:val="28"/>
          <w:highlight w:val="none"/>
        </w:rPr>
        <w:t>二、双方责任：</w:t>
      </w:r>
    </w:p>
    <w:p w14:paraId="5C79AC4F">
      <w:pPr>
        <w:ind w:firstLine="560" w:firstLineChars="200"/>
        <w:jc w:val="left"/>
        <w:rPr>
          <w:color w:val="auto"/>
          <w:sz w:val="28"/>
          <w:szCs w:val="28"/>
          <w:highlight w:val="none"/>
        </w:rPr>
      </w:pPr>
      <w:r>
        <w:rPr>
          <w:rFonts w:hint="eastAsia"/>
          <w:color w:val="auto"/>
          <w:sz w:val="28"/>
          <w:szCs w:val="28"/>
          <w:highlight w:val="none"/>
        </w:rPr>
        <w:t>1、甲方责任：</w:t>
      </w:r>
    </w:p>
    <w:p w14:paraId="2F8D0878">
      <w:pPr>
        <w:ind w:firstLine="560" w:firstLineChars="200"/>
        <w:jc w:val="left"/>
        <w:rPr>
          <w:color w:val="auto"/>
          <w:sz w:val="28"/>
          <w:szCs w:val="28"/>
          <w:highlight w:val="none"/>
        </w:rPr>
      </w:pPr>
      <w:r>
        <w:rPr>
          <w:rFonts w:hint="eastAsia"/>
          <w:color w:val="auto"/>
          <w:sz w:val="28"/>
          <w:szCs w:val="28"/>
          <w:highlight w:val="none"/>
        </w:rPr>
        <w:t>（1）提供天然气输气管道工程有关线路工程和场站工程竣工资料等相关资料，以备乙方查询。</w:t>
      </w:r>
    </w:p>
    <w:p w14:paraId="1008F4FE">
      <w:pPr>
        <w:ind w:firstLine="560" w:firstLineChars="200"/>
        <w:jc w:val="left"/>
        <w:rPr>
          <w:rFonts w:hint="eastAsia"/>
          <w:color w:val="auto"/>
          <w:sz w:val="28"/>
          <w:szCs w:val="28"/>
          <w:highlight w:val="none"/>
        </w:rPr>
      </w:pPr>
      <w:r>
        <w:rPr>
          <w:rFonts w:hint="eastAsia"/>
          <w:color w:val="auto"/>
          <w:sz w:val="28"/>
          <w:szCs w:val="28"/>
          <w:highlight w:val="none"/>
        </w:rPr>
        <w:t>（2）下达抢（维）修指令时，必须载明作业（事故）地点、作业（事故）类型以及安全作业要求。</w:t>
      </w:r>
    </w:p>
    <w:p w14:paraId="7769A7D4">
      <w:pPr>
        <w:ind w:firstLine="560" w:firstLineChars="200"/>
        <w:jc w:val="left"/>
        <w:rPr>
          <w:color w:val="auto"/>
          <w:sz w:val="28"/>
          <w:szCs w:val="28"/>
          <w:highlight w:val="none"/>
        </w:rPr>
      </w:pPr>
      <w:r>
        <w:rPr>
          <w:rFonts w:hint="eastAsia"/>
          <w:color w:val="auto"/>
          <w:sz w:val="28"/>
          <w:szCs w:val="28"/>
          <w:highlight w:val="none"/>
        </w:rPr>
        <w:t>（3）下达抢（维）修指令时，尽最大的努力提供进入作业现场的道路条件。</w:t>
      </w:r>
    </w:p>
    <w:p w14:paraId="7B6D7BB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4）</w:t>
      </w:r>
      <w:r>
        <w:rPr>
          <w:rFonts w:hint="eastAsia"/>
          <w:color w:val="auto"/>
          <w:sz w:val="28"/>
          <w:szCs w:val="28"/>
          <w:highlight w:val="none"/>
        </w:rPr>
        <w:t>有权要求乙方建立安全组织机构，严格执行安全生产法规、标准，遵守安全生产规章制度，安全操作规程，负责抢（维）修作业现场或工程施工作业项目的安全监督工作，发现存在安全隐患时，责令乙方现场作业人员进行整改。</w:t>
      </w:r>
    </w:p>
    <w:p w14:paraId="30C8E5D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5</w:t>
      </w:r>
      <w:r>
        <w:rPr>
          <w:rFonts w:hint="eastAsia"/>
          <w:color w:val="auto"/>
          <w:sz w:val="28"/>
          <w:szCs w:val="28"/>
          <w:highlight w:val="none"/>
        </w:rPr>
        <w:t>）负责向乙方支付应付款项。</w:t>
      </w:r>
    </w:p>
    <w:p w14:paraId="298868AD">
      <w:pPr>
        <w:ind w:firstLine="560" w:firstLineChars="200"/>
        <w:jc w:val="left"/>
        <w:rPr>
          <w:color w:val="auto"/>
          <w:sz w:val="28"/>
          <w:szCs w:val="28"/>
          <w:highlight w:val="none"/>
        </w:rPr>
      </w:pPr>
      <w:r>
        <w:rPr>
          <w:rFonts w:hint="eastAsia"/>
          <w:color w:val="auto"/>
          <w:sz w:val="28"/>
          <w:szCs w:val="28"/>
          <w:highlight w:val="none"/>
        </w:rPr>
        <w:t>2、乙方责任：</w:t>
      </w:r>
    </w:p>
    <w:p w14:paraId="2ED18567">
      <w:pPr>
        <w:ind w:firstLine="560" w:firstLineChars="200"/>
        <w:jc w:val="left"/>
        <w:rPr>
          <w:color w:val="auto"/>
          <w:sz w:val="28"/>
          <w:szCs w:val="28"/>
          <w:highlight w:val="none"/>
        </w:rPr>
      </w:pPr>
      <w:r>
        <w:rPr>
          <w:rFonts w:hint="eastAsia"/>
          <w:color w:val="auto"/>
          <w:sz w:val="28"/>
          <w:szCs w:val="28"/>
          <w:highlight w:val="none"/>
        </w:rPr>
        <w:t>（1）乙方人员应严格遵守国家和江苏省有关安全生产的各项法律法规以及甲方的各项安全质量等规章制度。建立健全安全生产组织机构及安全生产责任制。对抢维修过程中的一切人身、财产损害承担安全责任。</w:t>
      </w:r>
    </w:p>
    <w:p w14:paraId="0CAA6BF6">
      <w:pPr>
        <w:ind w:firstLine="560" w:firstLineChars="200"/>
        <w:jc w:val="left"/>
        <w:rPr>
          <w:color w:val="auto"/>
          <w:sz w:val="28"/>
          <w:szCs w:val="28"/>
          <w:highlight w:val="none"/>
        </w:rPr>
      </w:pPr>
      <w:r>
        <w:rPr>
          <w:rFonts w:hint="eastAsia"/>
          <w:color w:val="auto"/>
          <w:sz w:val="28"/>
          <w:szCs w:val="28"/>
          <w:highlight w:val="none"/>
        </w:rPr>
        <w:t>（2）严格按照国家规定、行业标准及规范进行作业，按本合同要求配置抢（维）修人员和物资装备。</w:t>
      </w:r>
      <w:r>
        <w:rPr>
          <w:rFonts w:hint="eastAsia" w:asciiTheme="minorEastAsia" w:hAnsiTheme="minorEastAsia"/>
          <w:color w:val="auto"/>
          <w:sz w:val="28"/>
          <w:szCs w:val="28"/>
          <w:highlight w:val="none"/>
        </w:rPr>
        <w:t>配置的专职安全工程师必须具备有关天然气管道及其辅助设施抢修的安全工程师资格证书；</w:t>
      </w:r>
      <w:r>
        <w:rPr>
          <w:rFonts w:hint="eastAsia"/>
          <w:color w:val="auto"/>
          <w:sz w:val="28"/>
          <w:szCs w:val="28"/>
          <w:highlight w:val="none"/>
        </w:rPr>
        <w:t>参加抢（维）修人员须持有与之相对应工种的有效操作证书且经验丰富。</w:t>
      </w:r>
    </w:p>
    <w:p w14:paraId="3DD3EF54">
      <w:pPr>
        <w:ind w:firstLine="560" w:firstLineChars="200"/>
        <w:jc w:val="left"/>
        <w:rPr>
          <w:color w:val="auto"/>
          <w:sz w:val="28"/>
          <w:szCs w:val="28"/>
          <w:highlight w:val="none"/>
        </w:rPr>
      </w:pPr>
      <w:r>
        <w:rPr>
          <w:rFonts w:hint="eastAsia"/>
          <w:color w:val="auto"/>
          <w:sz w:val="28"/>
          <w:szCs w:val="28"/>
          <w:highlight w:val="none"/>
        </w:rPr>
        <w:t>（3）不得购买、使用不符合国家、行业标准和甲方规定的原材料、设备、装置、防护用品、器材、安全检测仪器等。</w:t>
      </w:r>
    </w:p>
    <w:p w14:paraId="476E7236">
      <w:pPr>
        <w:ind w:firstLine="560" w:firstLineChars="200"/>
        <w:jc w:val="left"/>
        <w:rPr>
          <w:color w:val="auto"/>
          <w:sz w:val="28"/>
          <w:szCs w:val="28"/>
          <w:highlight w:val="none"/>
        </w:rPr>
      </w:pPr>
      <w:r>
        <w:rPr>
          <w:rFonts w:hint="eastAsia"/>
          <w:color w:val="auto"/>
          <w:sz w:val="28"/>
          <w:szCs w:val="28"/>
          <w:highlight w:val="none"/>
        </w:rPr>
        <w:t>（4）乙方应及时完成受托事务，认真履行本岗位职责；乙方管理人员应及时参加甲方组织的有关会议，做好己方队伍的管理工作。</w:t>
      </w:r>
    </w:p>
    <w:p w14:paraId="25F33090">
      <w:pPr>
        <w:ind w:firstLine="560" w:firstLineChars="200"/>
        <w:jc w:val="left"/>
        <w:rPr>
          <w:color w:val="auto"/>
          <w:sz w:val="28"/>
          <w:szCs w:val="28"/>
          <w:highlight w:val="none"/>
        </w:rPr>
      </w:pPr>
      <w:r>
        <w:rPr>
          <w:rFonts w:hint="eastAsia"/>
          <w:color w:val="auto"/>
          <w:sz w:val="28"/>
          <w:szCs w:val="28"/>
          <w:highlight w:val="none"/>
        </w:rPr>
        <w:t>（5）接到甲方的抢（维）修施工指令后，应迅速集合全体作业人员并携带所有施工设备、工器具、防护用具、施工材料等物资赶赴作业地点。以甲方电话下达抢（维）修施工指令的通话结束后开始计时，以维抢修人员到达现场向甲方现场指挥报到时结束，响应到达时间应符合以下要求：</w:t>
      </w:r>
    </w:p>
    <w:p w14:paraId="3A66140C">
      <w:pPr>
        <w:ind w:firstLine="840" w:firstLineChars="300"/>
        <w:jc w:val="left"/>
        <w:rPr>
          <w:color w:val="auto"/>
          <w:sz w:val="28"/>
          <w:szCs w:val="28"/>
          <w:highlight w:val="none"/>
        </w:rPr>
      </w:pPr>
      <w:r>
        <w:rPr>
          <w:rFonts w:hint="eastAsia" w:asciiTheme="minorEastAsia" w:hAnsiTheme="minorEastAsia"/>
          <w:color w:val="auto"/>
          <w:sz w:val="28"/>
          <w:szCs w:val="28"/>
          <w:highlight w:val="none"/>
        </w:rPr>
        <w:t xml:space="preserve">① </w:t>
      </w:r>
      <w:r>
        <w:rPr>
          <w:rFonts w:hint="eastAsia"/>
          <w:color w:val="auto"/>
          <w:sz w:val="28"/>
          <w:szCs w:val="28"/>
          <w:highlight w:val="none"/>
        </w:rPr>
        <w:t>先遣人员：到达时间应</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val="en-US" w:eastAsia="zh-CN"/>
        </w:rPr>
        <w:t>1.5</w:t>
      </w:r>
      <w:r>
        <w:rPr>
          <w:rFonts w:hint="eastAsia" w:cs="Arial" w:asciiTheme="minorEastAsia" w:hAnsiTheme="minorEastAsia"/>
          <w:color w:val="auto"/>
          <w:sz w:val="28"/>
          <w:szCs w:val="28"/>
          <w:highlight w:val="none"/>
        </w:rPr>
        <w:t>小时；</w:t>
      </w:r>
      <w:r>
        <w:rPr>
          <w:color w:val="auto"/>
          <w:sz w:val="28"/>
          <w:szCs w:val="28"/>
          <w:highlight w:val="none"/>
        </w:rPr>
        <w:t xml:space="preserve"> </w:t>
      </w:r>
    </w:p>
    <w:p w14:paraId="5BE08982">
      <w:pPr>
        <w:ind w:firstLine="834" w:firstLineChars="298"/>
        <w:jc w:val="left"/>
        <w:rPr>
          <w:rFonts w:cs="Arial" w:asciiTheme="minorEastAsia" w:hAnsiTheme="minorEastAsia"/>
          <w:color w:val="auto"/>
          <w:sz w:val="28"/>
          <w:szCs w:val="28"/>
          <w:highlight w:val="none"/>
        </w:rPr>
      </w:pPr>
      <w:r>
        <w:rPr>
          <w:rFonts w:hint="eastAsia" w:asciiTheme="minorEastAsia" w:hAnsiTheme="minorEastAsia"/>
          <w:color w:val="auto"/>
          <w:sz w:val="28"/>
          <w:szCs w:val="28"/>
          <w:highlight w:val="none"/>
        </w:rPr>
        <w:t xml:space="preserve">② </w:t>
      </w:r>
      <w:r>
        <w:rPr>
          <w:rFonts w:hint="eastAsia"/>
          <w:color w:val="auto"/>
          <w:sz w:val="28"/>
          <w:szCs w:val="28"/>
          <w:highlight w:val="none"/>
        </w:rPr>
        <w:t>抢险人员与设备：</w:t>
      </w:r>
      <w:r>
        <w:rPr>
          <w:rFonts w:hint="eastAsia" w:cs="Arial" w:asciiTheme="minorEastAsia" w:hAnsiTheme="minorEastAsia"/>
          <w:color w:val="auto"/>
          <w:sz w:val="28"/>
          <w:szCs w:val="28"/>
          <w:highlight w:val="none"/>
        </w:rPr>
        <w:t>到达时间≤</w:t>
      </w:r>
      <w:r>
        <w:rPr>
          <w:rFonts w:hint="eastAsia" w:cs="Arial" w:asciiTheme="minorEastAsia" w:hAnsiTheme="minorEastAsia"/>
          <w:color w:val="auto"/>
          <w:sz w:val="28"/>
          <w:szCs w:val="28"/>
          <w:highlight w:val="none"/>
          <w:lang w:val="en-US" w:eastAsia="zh-CN"/>
        </w:rPr>
        <w:t>2</w:t>
      </w:r>
      <w:r>
        <w:rPr>
          <w:rFonts w:hint="eastAsia" w:cs="Arial" w:asciiTheme="minorEastAsia" w:hAnsiTheme="minorEastAsia"/>
          <w:color w:val="auto"/>
          <w:sz w:val="28"/>
          <w:szCs w:val="28"/>
          <w:highlight w:val="none"/>
        </w:rPr>
        <w:t>小时。</w:t>
      </w:r>
    </w:p>
    <w:p w14:paraId="013AB10B">
      <w:pPr>
        <w:ind w:firstLine="560" w:firstLineChars="200"/>
        <w:jc w:val="left"/>
        <w:rPr>
          <w:color w:val="auto"/>
          <w:sz w:val="28"/>
          <w:szCs w:val="28"/>
          <w:highlight w:val="none"/>
        </w:rPr>
      </w:pPr>
      <w:r>
        <w:rPr>
          <w:rFonts w:hint="eastAsia"/>
          <w:color w:val="auto"/>
          <w:sz w:val="28"/>
          <w:szCs w:val="28"/>
          <w:highlight w:val="none"/>
        </w:rPr>
        <w:t>（6）根据甲方提供的天然气高压输气管网工程竣工资料等相关材料，分析有可能发生的损失事故，比如穿孔、爆管、管道变形、泄漏等，并制定详尽可行的抢修作业方案。</w:t>
      </w:r>
    </w:p>
    <w:p w14:paraId="275B133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7</w:t>
      </w:r>
      <w:r>
        <w:rPr>
          <w:rFonts w:hint="eastAsia"/>
          <w:color w:val="auto"/>
          <w:sz w:val="28"/>
          <w:szCs w:val="28"/>
          <w:highlight w:val="none"/>
        </w:rPr>
        <w:t>）乙方派</w:t>
      </w:r>
      <w:r>
        <w:rPr>
          <w:rFonts w:hint="eastAsia"/>
          <w:color w:val="auto"/>
          <w:sz w:val="28"/>
          <w:szCs w:val="28"/>
          <w:highlight w:val="none"/>
          <w:u w:val="single"/>
          <w:lang w:val="en-US" w:eastAsia="zh-CN"/>
        </w:rPr>
        <w:t xml:space="preserve">            </w:t>
      </w:r>
      <w:r>
        <w:rPr>
          <w:rFonts w:hint="eastAsia"/>
          <w:color w:val="auto"/>
          <w:sz w:val="28"/>
          <w:szCs w:val="28"/>
          <w:highlight w:val="none"/>
        </w:rPr>
        <w:t>为抢（维）修现场的具体应急联络人，负责应急信息响应及甲方现场抢（维）修人员指挥抢（维）修联络。甲方派</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rPr>
        <w:t>为抢（维）修现场的代表，行使甲方的权利。甲、乙双方在更换代表前七个工作日内以书面形式通知对方。</w:t>
      </w:r>
    </w:p>
    <w:p w14:paraId="1D77D56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乙方作为专业的天然气管道抢维修单位，应合理制定抢（维）修作业方案，及时完成受托的各类抢维修工作。在抢维修作业过程中造成的人员、财产损失均由乙方承担赔偿责任。抢维修方案应科学、合理，以保持出险前原状为限，乙方应最大程度的避免对甲方的管线敷设位置、设备装置等造成重大变动或其他辅助设施的损坏，造成上述重大变动或损失的，由乙方承担赔偿责任。</w:t>
      </w:r>
    </w:p>
    <w:p w14:paraId="749A946B">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9</w:t>
      </w:r>
      <w:r>
        <w:rPr>
          <w:rFonts w:hint="eastAsia"/>
          <w:color w:val="auto"/>
          <w:sz w:val="28"/>
          <w:szCs w:val="28"/>
          <w:highlight w:val="none"/>
        </w:rPr>
        <w:t>）抢（维）修作业项目竣工后，乙方向甲方提供完整竣工资料等相关材料，未经甲方同意不能向第三方透露任何有关抢（维）修工程的文字、影像等信息，乙方应对抢维修工程质量承担质保责任，保修期为三年，自抢（维）修竣工完成之日起三年内，该处管线或设施再次发生非人为原因导致的各类险情或事故，乙方应当无偿进行抢维修，并赔偿甲方因此产生的经济损失。</w:t>
      </w:r>
    </w:p>
    <w:p w14:paraId="36CE6096">
      <w:pPr>
        <w:ind w:firstLine="560" w:firstLineChars="20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0</w:t>
      </w:r>
      <w:r>
        <w:rPr>
          <w:rFonts w:hint="eastAsia"/>
          <w:color w:val="auto"/>
          <w:sz w:val="28"/>
          <w:szCs w:val="28"/>
          <w:highlight w:val="none"/>
        </w:rPr>
        <w:t>）为应对节假日等特殊时期可能会突发紧急事件，乙方应制定特殊时期的值班表，并提前告知甲方，值班期间所有人须保持24小时通讯畅通。</w:t>
      </w:r>
    </w:p>
    <w:p w14:paraId="1EF243C0">
      <w:pPr>
        <w:ind w:firstLine="560" w:firstLineChars="200"/>
        <w:jc w:val="left"/>
        <w:rPr>
          <w:rFonts w:hint="eastAsia" w:asciiTheme="minorEastAsia" w:hAnsiTheme="minor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rPr>
        <w:t>）</w:t>
      </w:r>
      <w:r>
        <w:rPr>
          <w:rFonts w:hint="eastAsia" w:asciiTheme="minorEastAsia" w:hAnsiTheme="minorEastAsia"/>
          <w:color w:val="auto"/>
          <w:sz w:val="28"/>
          <w:szCs w:val="28"/>
          <w:highlight w:val="none"/>
        </w:rPr>
        <w:t>乙方的维护保养工作是指：抢修队伍的组建、人员培训、技术培训和管理；抢修设备的日常维护保养，确保设备完好无损，在需要时能立即投入使用；</w:t>
      </w:r>
      <w:r>
        <w:rPr>
          <w:rFonts w:hint="eastAsia"/>
          <w:color w:val="auto"/>
          <w:sz w:val="28"/>
          <w:szCs w:val="28"/>
          <w:highlight w:val="none"/>
        </w:rPr>
        <w:t>接受并配合甲方对履行本合同所需人员、设备、物资进行的突击检查；</w:t>
      </w:r>
      <w:r>
        <w:rPr>
          <w:rFonts w:hint="eastAsia" w:asciiTheme="minorEastAsia" w:hAnsiTheme="minorEastAsia"/>
          <w:color w:val="auto"/>
          <w:sz w:val="28"/>
          <w:szCs w:val="28"/>
          <w:highlight w:val="none"/>
        </w:rPr>
        <w:t>根据抢修施工组织方案进行每年至少一次次针对甲方的抢修培训及演练。</w:t>
      </w:r>
    </w:p>
    <w:p w14:paraId="35CEAE77">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12</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eastAsia="zh-CN"/>
        </w:rPr>
        <w:t>当发生抢（维）修施工时，</w:t>
      </w:r>
      <w:r>
        <w:rPr>
          <w:rFonts w:hint="eastAsia" w:asciiTheme="minorEastAsia" w:hAnsiTheme="minorEastAsia"/>
          <w:color w:val="auto"/>
          <w:sz w:val="28"/>
          <w:szCs w:val="28"/>
          <w:highlight w:val="none"/>
        </w:rPr>
        <w:t>负责提供抢险抢修用各类管件、管材、封堵三通、卡具等物资材料</w:t>
      </w: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lang w:val="en-US" w:eastAsia="zh-CN"/>
        </w:rPr>
        <w:t>相关材料费用纳入审计结算。</w:t>
      </w:r>
    </w:p>
    <w:p w14:paraId="50D17A2D">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（13）根据甲方要求签订施工安全管理协议。</w:t>
      </w:r>
    </w:p>
    <w:p w14:paraId="2DB3CFB2">
      <w:pPr>
        <w:ind w:firstLine="560" w:firstLineChars="200"/>
        <w:jc w:val="left"/>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（14）按投标文件中的承诺提供人员及设备。</w:t>
      </w:r>
    </w:p>
    <w:p w14:paraId="3AB89017">
      <w:pPr>
        <w:ind w:firstLine="560" w:firstLineChars="200"/>
        <w:jc w:val="left"/>
        <w:rPr>
          <w:color w:val="auto"/>
          <w:sz w:val="28"/>
          <w:szCs w:val="28"/>
          <w:highlight w:val="none"/>
        </w:rPr>
      </w:pPr>
      <w:r>
        <w:rPr>
          <w:rFonts w:hint="eastAsia"/>
          <w:color w:val="auto"/>
          <w:sz w:val="28"/>
          <w:szCs w:val="28"/>
          <w:highlight w:val="none"/>
        </w:rPr>
        <w:t>三、合同金额</w:t>
      </w:r>
      <w:r>
        <w:rPr>
          <w:rFonts w:hint="eastAsia"/>
          <w:color w:val="auto"/>
          <w:sz w:val="28"/>
          <w:szCs w:val="28"/>
          <w:highlight w:val="none"/>
          <w:lang w:eastAsia="zh-CN"/>
        </w:rPr>
        <w:t>、结算方式</w:t>
      </w:r>
      <w:r>
        <w:rPr>
          <w:rFonts w:hint="eastAsia"/>
          <w:color w:val="auto"/>
          <w:sz w:val="28"/>
          <w:szCs w:val="28"/>
          <w:highlight w:val="none"/>
        </w:rPr>
        <w:t>及支付方式：</w:t>
      </w:r>
    </w:p>
    <w:p w14:paraId="7DBFC883">
      <w:pPr>
        <w:ind w:firstLine="560" w:firstLineChars="200"/>
        <w:jc w:val="left"/>
        <w:rPr>
          <w:rFonts w:hint="eastAsia"/>
          <w:color w:val="auto"/>
          <w:sz w:val="28"/>
          <w:szCs w:val="28"/>
          <w:highlight w:val="none"/>
          <w:lang w:val="en-US" w:eastAsia="zh-CN"/>
        </w:rPr>
      </w:pPr>
      <w:r>
        <w:rPr>
          <w:rFonts w:hint="eastAsia"/>
          <w:color w:val="auto"/>
          <w:sz w:val="28"/>
          <w:szCs w:val="28"/>
          <w:highlight w:val="none"/>
        </w:rPr>
        <w:t>1、本合同自签订之日起生效，</w:t>
      </w:r>
      <w:r>
        <w:rPr>
          <w:rFonts w:hint="eastAsia"/>
          <w:color w:val="auto"/>
          <w:sz w:val="28"/>
          <w:szCs w:val="28"/>
          <w:highlight w:val="none"/>
          <w:lang w:val="en-US" w:eastAsia="zh-CN"/>
        </w:rPr>
        <w:t>有效期从 2024年  月    日起至 2025年   月  日止（包括首末两日）。</w:t>
      </w:r>
    </w:p>
    <w:p w14:paraId="4414FF9D">
      <w:pPr>
        <w:tabs>
          <w:tab w:val="left" w:pos="1087"/>
        </w:tabs>
        <w:ind w:firstLine="560" w:firstLineChars="200"/>
        <w:rPr>
          <w:rFonts w:hint="eastAsia"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rPr>
        <w:t>2、甲方向乙方支付基本维护费用人民币</w:t>
      </w:r>
      <w:r>
        <w:rPr>
          <w:rFonts w:hint="eastAsia" w:cs="Arial" w:asciiTheme="minorEastAsia" w:hAnsiTheme="minorEastAsia"/>
          <w:color w:val="auto"/>
          <w:sz w:val="28"/>
          <w:szCs w:val="28"/>
          <w:highlight w:val="none"/>
          <w:u w:val="single"/>
          <w:lang w:val="en-US" w:eastAsia="zh-CN"/>
        </w:rPr>
        <w:t xml:space="preserve">          </w:t>
      </w:r>
      <w:r>
        <w:rPr>
          <w:rFonts w:hint="eastAsia" w:cs="Arial" w:asciiTheme="minorEastAsia" w:hAnsiTheme="minorEastAsia"/>
          <w:color w:val="auto"/>
          <w:sz w:val="28"/>
          <w:szCs w:val="28"/>
          <w:highlight w:val="none"/>
        </w:rPr>
        <w:t>，为固定不变价（</w:t>
      </w:r>
      <w:r>
        <w:rPr>
          <w:rFonts w:hint="eastAsia" w:cs="Arial" w:asciiTheme="minorEastAsia" w:hAnsiTheme="minorEastAsia"/>
          <w:color w:val="auto"/>
          <w:sz w:val="28"/>
          <w:szCs w:val="28"/>
          <w:highlight w:val="none"/>
          <w:lang w:val="en-US" w:eastAsia="zh-CN"/>
        </w:rPr>
        <w:t>6%基本维护费</w:t>
      </w:r>
      <w:r>
        <w:rPr>
          <w:rFonts w:hint="eastAsia" w:cs="Arial" w:asciiTheme="minorEastAsia" w:hAnsiTheme="minorEastAsia"/>
          <w:color w:val="auto"/>
          <w:sz w:val="28"/>
          <w:szCs w:val="28"/>
          <w:highlight w:val="none"/>
        </w:rPr>
        <w:t>增值税</w:t>
      </w:r>
      <w:r>
        <w:rPr>
          <w:rFonts w:hint="eastAsia" w:cs="Arial" w:asciiTheme="minorEastAsia" w:hAnsiTheme="minorEastAsia"/>
          <w:color w:val="auto"/>
          <w:sz w:val="28"/>
          <w:szCs w:val="28"/>
          <w:highlight w:val="none"/>
          <w:lang w:val="en-US" w:eastAsia="zh-CN"/>
        </w:rPr>
        <w:t>专用发票</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如实际发生管道抢修事件，抢修完毕后，乙方根据实际工作量上报甲方审核，按照审核后的价格开具（9%工程施工的增值税专用发票）</w:t>
      </w:r>
      <w:r>
        <w:rPr>
          <w:rFonts w:hint="eastAsia" w:cs="Arial" w:asciiTheme="minorEastAsia" w:hAnsiTheme="minorEastAsia"/>
          <w:color w:val="auto"/>
          <w:sz w:val="28"/>
          <w:szCs w:val="28"/>
          <w:highlight w:val="none"/>
        </w:rPr>
        <w:t>。</w:t>
      </w:r>
    </w:p>
    <w:p w14:paraId="61759673">
      <w:pPr>
        <w:tabs>
          <w:tab w:val="left" w:pos="1087"/>
        </w:tabs>
        <w:ind w:firstLine="562" w:firstLineChars="200"/>
        <w:rPr>
          <w:rFonts w:hint="eastAsia" w:eastAsia="宋体" w:cs="Arial" w:asciiTheme="minorEastAsia" w:hAnsiTheme="minorEastAsia"/>
          <w:b/>
          <w:bCs/>
          <w:color w:val="auto"/>
          <w:sz w:val="28"/>
          <w:szCs w:val="28"/>
          <w:highlight w:val="none"/>
          <w:lang w:val="en-US" w:eastAsia="zh-CN"/>
        </w:rPr>
      </w:pPr>
      <w:r>
        <w:rPr>
          <w:rFonts w:hint="eastAsia" w:eastAsia="宋体" w:cs="Arial" w:asciiTheme="minorEastAsia" w:hAnsiTheme="minorEastAsia"/>
          <w:b/>
          <w:bCs/>
          <w:color w:val="auto"/>
          <w:sz w:val="28"/>
          <w:szCs w:val="28"/>
          <w:highlight w:val="none"/>
          <w:lang w:val="en-US" w:eastAsia="zh-CN"/>
        </w:rPr>
        <w:t>注：如中标单位为小微企业无法开具上述税率的税票,采购人结算时予以扣除税金差额。</w:t>
      </w:r>
    </w:p>
    <w:p w14:paraId="4EA7854C">
      <w:pPr>
        <w:tabs>
          <w:tab w:val="left" w:pos="1087"/>
        </w:tabs>
        <w:ind w:firstLine="560" w:firstLineChars="200"/>
        <w:rPr>
          <w:rFonts w:hint="eastAsia" w:cs="Arial" w:asciiTheme="minorEastAsia" w:hAnsiTheme="minorEastAsia"/>
          <w:color w:val="auto"/>
          <w:sz w:val="28"/>
          <w:szCs w:val="28"/>
          <w:highlight w:val="none"/>
          <w:lang w:eastAsia="zh-CN"/>
        </w:rPr>
      </w:pPr>
      <w:r>
        <w:rPr>
          <w:rFonts w:hint="eastAsia" w:cs="Arial" w:asciiTheme="minorEastAsia" w:hAnsiTheme="minorEastAsia"/>
          <w:color w:val="auto"/>
          <w:sz w:val="28"/>
          <w:szCs w:val="28"/>
          <w:highlight w:val="none"/>
        </w:rPr>
        <w:t>3、</w:t>
      </w:r>
      <w:r>
        <w:rPr>
          <w:rFonts w:hint="eastAsia" w:cs="Arial" w:asciiTheme="minorEastAsia" w:hAnsiTheme="minorEastAsia"/>
          <w:color w:val="auto"/>
          <w:sz w:val="28"/>
          <w:szCs w:val="28"/>
          <w:highlight w:val="none"/>
          <w:lang w:eastAsia="zh-CN"/>
        </w:rPr>
        <w:t>结算方式</w:t>
      </w:r>
    </w:p>
    <w:p w14:paraId="3989B528">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本项目基本维护费采用总价包干，基本维护费付款前乙方须开具6%的增值税专用发票提供给甲方。在服务期内，如遇抢（维）修作业，抢（维）修部分的价款，由第三方审计单位审核确定后的工程竣工结算价作为最终结算金额，抢（维）修作业费付款前乙方须开具9%的增值税专用发票提供给甲方。结算原则如下：</w:t>
      </w:r>
    </w:p>
    <w:p w14:paraId="7868FFA3">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（1）工程量：经双方认可的实际工程量。</w:t>
      </w:r>
    </w:p>
    <w:p w14:paraId="46E7CFA9">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（2）人材机：</w:t>
      </w:r>
      <w:r>
        <w:rPr>
          <w:rFonts w:hint="default" w:eastAsia="宋体" w:cs="Arial" w:asciiTheme="minorEastAsia" w:hAnsiTheme="minorEastAsia"/>
          <w:bCs/>
          <w:color w:val="auto"/>
          <w:sz w:val="28"/>
          <w:szCs w:val="28"/>
          <w:highlight w:val="none"/>
          <w:lang w:val="en-US" w:eastAsia="zh-CN"/>
        </w:rPr>
        <w:t>①</w:t>
      </w:r>
      <w:r>
        <w:rPr>
          <w:rFonts w:hint="eastAsia" w:eastAsia="宋体" w:cs="Arial" w:asciiTheme="minorEastAsia" w:hAnsiTheme="minorEastAsia"/>
          <w:bCs/>
          <w:color w:val="auto"/>
          <w:sz w:val="28"/>
          <w:szCs w:val="28"/>
          <w:highlight w:val="none"/>
          <w:lang w:val="en-US" w:eastAsia="zh-CN"/>
        </w:rPr>
        <w:t>人工费、辅材费用等已包含在基本维护费内，最终结算时该部分费用不另行计取。</w:t>
      </w:r>
      <w:r>
        <w:rPr>
          <w:rFonts w:hint="default" w:eastAsia="宋体" w:cs="Arial" w:asciiTheme="minorEastAsia" w:hAnsiTheme="minorEastAsia"/>
          <w:bCs/>
          <w:color w:val="auto"/>
          <w:sz w:val="28"/>
          <w:szCs w:val="28"/>
          <w:highlight w:val="none"/>
          <w:lang w:val="en-US" w:eastAsia="zh-CN"/>
        </w:rPr>
        <w:t>②</w:t>
      </w:r>
      <w:r>
        <w:rPr>
          <w:rFonts w:hint="eastAsia" w:eastAsia="宋体" w:cs="Arial" w:asciiTheme="minorEastAsia" w:hAnsiTheme="minorEastAsia"/>
          <w:bCs/>
          <w:color w:val="auto"/>
          <w:sz w:val="28"/>
          <w:szCs w:val="28"/>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eastAsia="宋体" w:cs="Arial" w:asciiTheme="minorEastAsia" w:hAnsiTheme="minorEastAsia"/>
          <w:bCs/>
          <w:color w:val="auto"/>
          <w:sz w:val="28"/>
          <w:szCs w:val="28"/>
          <w:highlight w:val="none"/>
          <w:lang w:val="en-US" w:eastAsia="zh-CN"/>
        </w:rPr>
        <w:t>③</w:t>
      </w:r>
      <w:r>
        <w:rPr>
          <w:rFonts w:hint="eastAsia" w:eastAsia="宋体" w:cs="Arial" w:asciiTheme="minorEastAsia" w:hAnsiTheme="minorEastAsia"/>
          <w:bCs/>
          <w:color w:val="auto"/>
          <w:sz w:val="28"/>
          <w:szCs w:val="28"/>
          <w:highlight w:val="none"/>
          <w:lang w:val="en-US" w:eastAsia="zh-CN"/>
        </w:rPr>
        <w:t>机械设备价格按市政工程专业的计价定额计取。</w:t>
      </w:r>
    </w:p>
    <w:p w14:paraId="766B0849">
      <w:pPr>
        <w:tabs>
          <w:tab w:val="left" w:pos="1087"/>
        </w:tabs>
        <w:ind w:firstLine="560" w:firstLineChars="200"/>
        <w:rPr>
          <w:rFonts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lang w:val="en-US" w:eastAsia="zh-CN"/>
        </w:rPr>
        <w:t>4、</w:t>
      </w:r>
      <w:r>
        <w:rPr>
          <w:rFonts w:hint="eastAsia" w:cs="Arial" w:asciiTheme="minorEastAsia" w:hAnsiTheme="minorEastAsia"/>
          <w:color w:val="auto"/>
          <w:sz w:val="28"/>
          <w:szCs w:val="28"/>
          <w:highlight w:val="none"/>
        </w:rPr>
        <w:t>支付方式：</w:t>
      </w:r>
    </w:p>
    <w:p w14:paraId="0FE5F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合同签订后一个月内乙方拟派人员及设备配备到位且通过甲方组织的验收后，乙方开具合同价款50%的增值税专用发票，甲方向乙方支付合同价款50%的合同款；</w:t>
      </w:r>
    </w:p>
    <w:p w14:paraId="51D8D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合同结束前一个月内，乙方开具剩余50%的增值税专用发票，甲方于服务期满后一周内向乙方支付剩余50%的合同款。</w:t>
      </w:r>
    </w:p>
    <w:p w14:paraId="7E746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乙方须无条件先进行抢险作业；抢修工作完成，验收合格后，乙方根据实际工作量上报采购人审核，甲方委托第三方审计单位开展结算核定工作，结算价以审计结果为准。</w:t>
      </w:r>
    </w:p>
    <w:p w14:paraId="2E81FE1C">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注：如中标单位为小微企业无法开具规定的税票,甲方结算时予以扣除税金差额。</w:t>
      </w:r>
    </w:p>
    <w:p w14:paraId="21A1F2BE">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四、违约责任：</w:t>
      </w:r>
    </w:p>
    <w:p w14:paraId="732058F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1、甲方未能及时准确通知乙方有关事故发生时间、地点等相关信息，造成抢修延误的，后果由甲方自负。</w:t>
      </w:r>
    </w:p>
    <w:p w14:paraId="6E9C1231">
      <w:pPr>
        <w:tabs>
          <w:tab w:val="left" w:pos="1087"/>
        </w:tabs>
        <w:ind w:left="279" w:leftChars="133" w:firstLine="280" w:firstLineChars="1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2、乙方未能按以上规定时间到达事故现场，一次扣罚年</w:t>
      </w:r>
      <w:r>
        <w:rPr>
          <w:rFonts w:hint="eastAsia" w:cs="Arial" w:asciiTheme="minorEastAsia" w:hAnsiTheme="minorEastAsia"/>
          <w:bCs/>
          <w:color w:val="auto"/>
          <w:sz w:val="28"/>
          <w:szCs w:val="28"/>
          <w:highlight w:val="none"/>
          <w:lang w:eastAsia="zh-CN"/>
        </w:rPr>
        <w:t>固定</w:t>
      </w:r>
      <w:r>
        <w:rPr>
          <w:rFonts w:hint="eastAsia"/>
          <w:color w:val="auto"/>
          <w:sz w:val="28"/>
          <w:szCs w:val="28"/>
          <w:highlight w:val="none"/>
          <w:lang w:val="en-US" w:eastAsia="zh-CN"/>
        </w:rPr>
        <w:t>基本维护</w:t>
      </w:r>
      <w:r>
        <w:rPr>
          <w:rFonts w:hint="eastAsia" w:cs="Arial" w:asciiTheme="minorEastAsia" w:hAnsiTheme="minorEastAsia"/>
          <w:bCs/>
          <w:color w:val="auto"/>
          <w:sz w:val="28"/>
          <w:szCs w:val="28"/>
          <w:highlight w:val="none"/>
        </w:rPr>
        <w:t>费用的10%，且延误时间内对甲方造成的经济损失由乙方承担。</w:t>
      </w:r>
    </w:p>
    <w:p w14:paraId="1499568A">
      <w:pPr>
        <w:tabs>
          <w:tab w:val="left" w:pos="1087"/>
        </w:tabs>
        <w:ind w:firstLine="560" w:firstLineChars="200"/>
        <w:rPr>
          <w:rFonts w:hint="eastAsia"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3、因不可抗力影响而无法完全履行本合同时，双方不承担违约责任。</w:t>
      </w:r>
    </w:p>
    <w:p w14:paraId="7FAC8A8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五、合同生效、变更和终止：</w:t>
      </w:r>
    </w:p>
    <w:p w14:paraId="4598D88A">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1、本合同经双方签字盖章后即生效。</w:t>
      </w:r>
    </w:p>
    <w:p w14:paraId="5E55625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2、抢维修工程完成后，乙方应提供抢维修与动火作业的全部资料。</w:t>
      </w:r>
    </w:p>
    <w:p w14:paraId="30097643">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3、在本合同到期前60日内，双方应当对是否续签达成书面意见或达成新的协议，未达成新协议的，本合同到期即终止。</w:t>
      </w:r>
    </w:p>
    <w:p w14:paraId="505A6B8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4、合同一方要求变更或解除合同时，应提前30日通知对方，因解除合同使一方遭受损失的，责任方负责赔偿。</w:t>
      </w:r>
    </w:p>
    <w:p w14:paraId="727D715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5、变更或解除合同的通知必须以书面形式，协商未达成一致之前，原合同仍然有效。</w:t>
      </w:r>
    </w:p>
    <w:p w14:paraId="5D0AE66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六、保险：乙方合同项目施工作业人员的工伤意外保险等一切险均由乙方自行承担。</w:t>
      </w:r>
    </w:p>
    <w:p w14:paraId="6C0AB8EC">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七、争议的解决：</w:t>
      </w:r>
    </w:p>
    <w:p w14:paraId="245CED70">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双方因履行本合同发生争议，应协商解决；如不能协商解决的，提交如东县人民法院诉讼解决。</w:t>
      </w:r>
    </w:p>
    <w:p w14:paraId="5DFCAEA2">
      <w:pPr>
        <w:topLinePunct/>
        <w:snapToGrid w:val="0"/>
        <w:spacing w:line="300" w:lineRule="auto"/>
        <w:ind w:firstLine="560" w:firstLineChars="200"/>
        <w:rPr>
          <w:rFonts w:hint="eastAsia" w:asciiTheme="minorEastAsia" w:hAnsiTheme="minorEastAsia"/>
          <w:b/>
          <w:color w:val="auto"/>
          <w:sz w:val="28"/>
          <w:szCs w:val="28"/>
          <w:highlight w:val="none"/>
        </w:rPr>
      </w:pPr>
      <w:r>
        <w:rPr>
          <w:rFonts w:hint="eastAsia" w:cs="Arial" w:asciiTheme="minorEastAsia" w:hAnsiTheme="minorEastAsia"/>
          <w:bCs/>
          <w:color w:val="auto"/>
          <w:sz w:val="28"/>
          <w:szCs w:val="28"/>
          <w:highlight w:val="none"/>
        </w:rPr>
        <w:t>八、</w:t>
      </w:r>
      <w:r>
        <w:rPr>
          <w:rFonts w:hint="eastAsia" w:asciiTheme="minorEastAsia" w:hAnsiTheme="minorEastAsia"/>
          <w:b/>
          <w:color w:val="auto"/>
          <w:sz w:val="28"/>
          <w:szCs w:val="28"/>
          <w:highlight w:val="none"/>
        </w:rPr>
        <w:t>索赔</w:t>
      </w:r>
    </w:p>
    <w:p w14:paraId="658A7129">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1、甲方可以按以下规定向乙方索赔：</w:t>
      </w:r>
    </w:p>
    <w:p w14:paraId="45F7BB09">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1.1有正当索赔理由，且有索赔事件发生时的有关证据。</w:t>
      </w:r>
    </w:p>
    <w:p w14:paraId="4EBCB326">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1.2索赔事件发生后的10</w:t>
      </w:r>
      <w:r>
        <w:rPr>
          <w:rFonts w:hint="eastAsia" w:asciiTheme="minorEastAsia" w:hAnsiTheme="minorEastAsia"/>
          <w:color w:val="auto"/>
          <w:sz w:val="28"/>
          <w:szCs w:val="28"/>
          <w:highlight w:val="none"/>
          <w:lang w:val="en-US" w:eastAsia="zh-CN"/>
        </w:rPr>
        <w:t>个工作</w:t>
      </w:r>
      <w:r>
        <w:rPr>
          <w:rFonts w:hint="eastAsia" w:asciiTheme="minorEastAsia" w:hAnsiTheme="minorEastAsia"/>
          <w:color w:val="auto"/>
          <w:sz w:val="28"/>
          <w:szCs w:val="28"/>
          <w:highlight w:val="none"/>
        </w:rPr>
        <w:t>日内，向乙方发出要求索赔的通知。</w:t>
      </w:r>
    </w:p>
    <w:p w14:paraId="3190BDA5">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1.3乙方在接到索赔通知后</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日内给予响应，或要求甲方进一步补充索赔理由或证据。乙方在</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日内未予答复，应视为该项索赔已经被认可。</w:t>
      </w:r>
    </w:p>
    <w:p w14:paraId="39CC71BF">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lang w:val="en-US" w:eastAsia="zh-CN"/>
        </w:rPr>
        <w:t>2</w:t>
      </w:r>
      <w:r>
        <w:rPr>
          <w:rFonts w:hint="eastAsia" w:asciiTheme="minorEastAsia" w:hAnsiTheme="minorEastAsia"/>
          <w:color w:val="auto"/>
          <w:sz w:val="28"/>
          <w:szCs w:val="28"/>
          <w:highlight w:val="none"/>
        </w:rPr>
        <w:t>、索赔款的支付：</w:t>
      </w:r>
    </w:p>
    <w:p w14:paraId="506C475B">
      <w:pPr>
        <w:tabs>
          <w:tab w:val="left" w:pos="1087"/>
        </w:tabs>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甲方有权将索赔款项在向乙方付款时予以扣除。</w:t>
      </w:r>
    </w:p>
    <w:p w14:paraId="7610687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九、其他：</w:t>
      </w:r>
    </w:p>
    <w:p w14:paraId="5A537FDD">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1、抢修工作范围内，如需聘请专家咨询或协助，由乙方聘用的，其费用由乙方承担；由甲方聘用的，其费用由甲方承担。</w:t>
      </w:r>
    </w:p>
    <w:p w14:paraId="67D1C118">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2、乙方不得参与可能与本合同规定的与甲方利益相冲突的任何活动。</w:t>
      </w:r>
    </w:p>
    <w:p w14:paraId="707A7F5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3、不论在何种场合，任何当事人按规定呈送或发出通知、指令等，除应急抢修指令外，上述往来文书均应采用书面形式，且不得无故扣押或拖延。</w:t>
      </w:r>
    </w:p>
    <w:p w14:paraId="7F8CBE37">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4、本合同未尽事宜，双方可签订补充协议，补充协议与本合同具有同等法律效力。</w:t>
      </w:r>
    </w:p>
    <w:p w14:paraId="28ACBB0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5、本合同一式</w:t>
      </w:r>
      <w:r>
        <w:rPr>
          <w:rFonts w:hint="eastAsia" w:cs="Arial" w:asciiTheme="minorEastAsia" w:hAnsiTheme="minorEastAsia"/>
          <w:bCs/>
          <w:color w:val="auto"/>
          <w:sz w:val="28"/>
          <w:szCs w:val="28"/>
          <w:highlight w:val="none"/>
          <w:lang w:val="en-US" w:eastAsia="zh-CN"/>
        </w:rPr>
        <w:t>伍份</w:t>
      </w:r>
      <w:r>
        <w:rPr>
          <w:rFonts w:hint="eastAsia" w:cs="Arial" w:asciiTheme="minorEastAsia" w:hAnsiTheme="minorEastAsia"/>
          <w:bCs/>
          <w:color w:val="auto"/>
          <w:sz w:val="28"/>
          <w:szCs w:val="28"/>
          <w:highlight w:val="none"/>
        </w:rPr>
        <w:t>，甲</w:t>
      </w:r>
      <w:r>
        <w:rPr>
          <w:rFonts w:hint="eastAsia" w:cs="Arial" w:asciiTheme="minorEastAsia" w:hAnsiTheme="minorEastAsia"/>
          <w:bCs/>
          <w:color w:val="auto"/>
          <w:sz w:val="28"/>
          <w:szCs w:val="28"/>
          <w:highlight w:val="none"/>
          <w:lang w:val="en-US" w:eastAsia="zh-CN"/>
        </w:rPr>
        <w:t>方执叁份、</w:t>
      </w:r>
      <w:r>
        <w:rPr>
          <w:rFonts w:hint="eastAsia" w:cs="Arial" w:asciiTheme="minorEastAsia" w:hAnsiTheme="minorEastAsia"/>
          <w:bCs/>
          <w:color w:val="auto"/>
          <w:sz w:val="28"/>
          <w:szCs w:val="28"/>
          <w:highlight w:val="none"/>
        </w:rPr>
        <w:t>乙方执贰份。</w:t>
      </w:r>
    </w:p>
    <w:p w14:paraId="59882E28">
      <w:pPr>
        <w:tabs>
          <w:tab w:val="left" w:pos="1087"/>
        </w:tabs>
        <w:rPr>
          <w:rFonts w:hint="eastAsia" w:cs="Arial" w:asciiTheme="minorEastAsia" w:hAnsiTheme="minorEastAsia"/>
          <w:bCs/>
          <w:color w:val="auto"/>
          <w:sz w:val="28"/>
          <w:szCs w:val="28"/>
          <w:highlight w:val="none"/>
        </w:rPr>
      </w:pPr>
    </w:p>
    <w:p w14:paraId="3A5A502F">
      <w:pPr>
        <w:tabs>
          <w:tab w:val="left" w:pos="1087"/>
        </w:tabs>
        <w:rPr>
          <w:rFonts w:hint="eastAsia" w:cs="Arial" w:asciiTheme="minorEastAsia" w:hAnsiTheme="minorEastAsia"/>
          <w:bCs/>
          <w:color w:val="auto"/>
          <w:sz w:val="28"/>
          <w:szCs w:val="28"/>
          <w:highlight w:val="none"/>
        </w:rPr>
      </w:pPr>
    </w:p>
    <w:p w14:paraId="1C84D5B1">
      <w:pPr>
        <w:tabs>
          <w:tab w:val="left" w:pos="1087"/>
        </w:tabs>
        <w:rPr>
          <w:rFonts w:cs="Arial" w:asciiTheme="minorEastAsia" w:hAnsiTheme="minorEastAsia"/>
          <w:color w:val="auto"/>
          <w:sz w:val="28"/>
          <w:szCs w:val="28"/>
          <w:highlight w:val="none"/>
        </w:rPr>
      </w:pPr>
      <w:r>
        <w:rPr>
          <w:rFonts w:hint="eastAsia" w:cs="Arial" w:asciiTheme="minorEastAsia" w:hAnsiTheme="minorEastAsia"/>
          <w:bCs/>
          <w:color w:val="auto"/>
          <w:sz w:val="28"/>
          <w:szCs w:val="28"/>
          <w:highlight w:val="none"/>
        </w:rPr>
        <w:t>甲方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                      乙方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w:t>
      </w:r>
    </w:p>
    <w:p w14:paraId="4CD4008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法定代表人</w:t>
      </w:r>
      <w:r>
        <w:rPr>
          <w:rFonts w:hint="eastAsia" w:cs="Arial" w:asciiTheme="minorEastAsia" w:hAnsiTheme="minorEastAsia"/>
          <w:color w:val="auto"/>
          <w:sz w:val="28"/>
          <w:szCs w:val="28"/>
          <w:highlight w:val="none"/>
        </w:rPr>
        <w:t xml:space="preserve">                         </w:t>
      </w:r>
      <w:r>
        <w:rPr>
          <w:rFonts w:cs="Arial" w:asciiTheme="minorEastAsia" w:hAnsiTheme="minorEastAsia"/>
          <w:color w:val="auto"/>
          <w:sz w:val="28"/>
          <w:szCs w:val="28"/>
          <w:highlight w:val="none"/>
        </w:rPr>
        <w:t>法定代表人</w:t>
      </w:r>
    </w:p>
    <w:p w14:paraId="73C73BF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rPr>
        <w:t xml:space="preserve">                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hint="eastAsia" w:cs="Arial" w:asciiTheme="minorEastAsia" w:hAnsiTheme="minorEastAsia"/>
          <w:color w:val="auto"/>
          <w:sz w:val="28"/>
          <w:szCs w:val="28"/>
          <w:highlight w:val="none"/>
        </w:rPr>
        <w:t>：</w:t>
      </w:r>
    </w:p>
    <w:p w14:paraId="01FDA8F9">
      <w:pPr>
        <w:tabs>
          <w:tab w:val="left" w:pos="4960"/>
        </w:tabs>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ab/>
      </w:r>
      <w:r>
        <w:rPr>
          <w:rFonts w:cs="Arial" w:asciiTheme="minorEastAsia" w:hAnsiTheme="minorEastAsia"/>
          <w:color w:val="auto"/>
          <w:sz w:val="28"/>
          <w:szCs w:val="28"/>
          <w:highlight w:val="none"/>
        </w:rPr>
        <w:t>签订日期：</w:t>
      </w:r>
    </w:p>
    <w:p w14:paraId="749E4B99">
      <w:pPr>
        <w:rPr>
          <w:color w:val="auto"/>
          <w:highlight w:val="none"/>
        </w:rPr>
      </w:pPr>
      <w:r>
        <w:rPr>
          <w:color w:val="auto"/>
          <w:highlight w:val="none"/>
        </w:rPr>
        <w:br w:type="page"/>
      </w:r>
    </w:p>
    <w:p w14:paraId="7C775E57">
      <w:pPr>
        <w:rPr>
          <w:rFonts w:hint="eastAsia" w:eastAsia="宋体" w:cs="Arial" w:asciiTheme="minorEastAsia" w:hAnsiTheme="minorEastAsia"/>
          <w:color w:val="auto"/>
          <w:sz w:val="28"/>
          <w:szCs w:val="28"/>
          <w:highlight w:val="none"/>
          <w:lang w:eastAsia="zh-CN"/>
        </w:rPr>
      </w:pPr>
      <w:r>
        <w:rPr>
          <w:rFonts w:hint="eastAsia" w:eastAsia="宋体" w:cs="Arial" w:asciiTheme="minorEastAsia" w:hAnsiTheme="minorEastAsia"/>
          <w:color w:val="auto"/>
          <w:sz w:val="28"/>
          <w:szCs w:val="28"/>
          <w:highlight w:val="none"/>
          <w:lang w:eastAsia="zh-CN"/>
        </w:rPr>
        <w:t>附件一：</w:t>
      </w:r>
    </w:p>
    <w:p w14:paraId="380BE3CA">
      <w:pPr>
        <w:jc w:val="center"/>
        <w:rPr>
          <w:rFonts w:hint="eastAsia" w:eastAsia="宋体" w:cs="Arial" w:asciiTheme="minorEastAsia" w:hAnsiTheme="minorEastAsia"/>
          <w:color w:val="auto"/>
          <w:sz w:val="28"/>
          <w:szCs w:val="28"/>
          <w:highlight w:val="none"/>
          <w:lang w:val="en-US" w:eastAsia="zh-CN"/>
        </w:rPr>
      </w:pPr>
      <w:r>
        <w:rPr>
          <w:rFonts w:hint="eastAsia" w:eastAsia="宋体" w:cs="Arial" w:asciiTheme="minorEastAsia" w:hAnsiTheme="minorEastAsia"/>
          <w:color w:val="auto"/>
          <w:sz w:val="28"/>
          <w:szCs w:val="28"/>
          <w:highlight w:val="none"/>
          <w:lang w:val="en-US" w:eastAsia="zh-CN"/>
        </w:rPr>
        <w:t>设备配置情况表</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277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A610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61B07A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044EEA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187607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3DE0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F981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4F4A6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11A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63046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C8E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6D472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133681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72D8E8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98E1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7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1A8BAF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30D9BF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741C71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F9790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35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40777B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027A4A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49C654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03D6B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6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6594F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5FB74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196090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FC376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86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524E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372CA0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66294B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C153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09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41B49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0FE388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363FAC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3A3FDA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C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ECC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19A717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06CAD4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E40B7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C0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2811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2623A6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000D46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0CE3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9C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C785D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65E6AA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A0059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C8A23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62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7B359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3847B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348206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4D996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DFF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57A05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3703C6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7D289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1E18A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95A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00F93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0F2E8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59D88B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5CF96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6CA5787E">
      <w:pPr>
        <w:spacing w:line="360" w:lineRule="auto"/>
        <w:ind w:firstLine="480" w:firstLineChars="200"/>
        <w:jc w:val="center"/>
        <w:rPr>
          <w:rFonts w:hint="eastAsia" w:ascii="宋体" w:hAnsi="宋体" w:cs="宋体"/>
          <w:bCs/>
          <w:color w:val="auto"/>
          <w:sz w:val="24"/>
          <w:szCs w:val="24"/>
          <w:highlight w:val="none"/>
          <w:lang w:val="en-US" w:eastAsia="zh-CN"/>
        </w:rPr>
      </w:pPr>
    </w:p>
    <w:sectPr>
      <w:footerReference r:id="rId6" w:type="first"/>
      <w:footerReference r:id="rId5"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D8D">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2976245</wp:posOffset>
              </wp:positionH>
              <wp:positionV relativeFrom="paragraph">
                <wp:posOffset>-14605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19F0">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35pt;margin-top:-1.15pt;height:144pt;width:144pt;mso-position-horizontal-relative:margin;mso-wrap-style:none;z-index:251660288;mso-width-relative:page;mso-height-relative:page;" filled="f" stroked="f" coordsize="21600,21600" o:gfxdata="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7X7vYAAAACg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14:paraId="3F1719F0">
                    <w:pPr>
                      <w:pStyle w:val="8"/>
                      <w:rPr>
                        <w:rStyle w:val="16"/>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26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5C9F">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E5C9F">
                    <w:pPr>
                      <w:pStyle w:val="8"/>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1312;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1FU0tgAAAAK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FF58">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A5DC2">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1A5DC2">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CCBB2">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CCBB2">
                    <w:pPr>
                      <w:pStyle w:val="8"/>
                      <w:rPr>
                        <w:rStyle w:val="16"/>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25B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B269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BB269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4384;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D65B5592"/>
    <w:multiLevelType w:val="singleLevel"/>
    <w:tmpl w:val="D65B5592"/>
    <w:lvl w:ilvl="0" w:tentative="0">
      <w:start w:val="3"/>
      <w:numFmt w:val="decimal"/>
      <w:lvlText w:val="%1."/>
      <w:lvlJc w:val="left"/>
      <w:pPr>
        <w:tabs>
          <w:tab w:val="left" w:pos="312"/>
        </w:tabs>
      </w:pPr>
    </w:lvl>
  </w:abstractNum>
  <w:abstractNum w:abstractNumId="2">
    <w:nsid w:val="FCE3DDC0"/>
    <w:multiLevelType w:val="singleLevel"/>
    <w:tmpl w:val="FCE3DDC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E5ZmZjODFiZWVlNTYxOWEyZjYyNDg2NjQ1NTEifQ=="/>
  </w:docVars>
  <w:rsids>
    <w:rsidRoot w:val="00000000"/>
    <w:rsid w:val="02097680"/>
    <w:rsid w:val="04F7742B"/>
    <w:rsid w:val="071D79AB"/>
    <w:rsid w:val="08406D35"/>
    <w:rsid w:val="08C663D4"/>
    <w:rsid w:val="09BE7926"/>
    <w:rsid w:val="0D8B6A1F"/>
    <w:rsid w:val="12787170"/>
    <w:rsid w:val="12AB47E1"/>
    <w:rsid w:val="141D46A9"/>
    <w:rsid w:val="17200BD9"/>
    <w:rsid w:val="190869F9"/>
    <w:rsid w:val="1A8B11A1"/>
    <w:rsid w:val="1AC318A7"/>
    <w:rsid w:val="1DE079B1"/>
    <w:rsid w:val="1E3A47B9"/>
    <w:rsid w:val="1F637EC0"/>
    <w:rsid w:val="1FE26EFB"/>
    <w:rsid w:val="214A11C3"/>
    <w:rsid w:val="21F36EA1"/>
    <w:rsid w:val="22AE7F72"/>
    <w:rsid w:val="2875740B"/>
    <w:rsid w:val="2C6B442D"/>
    <w:rsid w:val="2E8B7CC7"/>
    <w:rsid w:val="2EB22B0A"/>
    <w:rsid w:val="2F875EE3"/>
    <w:rsid w:val="30C91229"/>
    <w:rsid w:val="30CB5C35"/>
    <w:rsid w:val="326571C3"/>
    <w:rsid w:val="335D05C0"/>
    <w:rsid w:val="342106F2"/>
    <w:rsid w:val="34692AA8"/>
    <w:rsid w:val="357E260D"/>
    <w:rsid w:val="36633E99"/>
    <w:rsid w:val="3A673119"/>
    <w:rsid w:val="3B20376A"/>
    <w:rsid w:val="3D751A00"/>
    <w:rsid w:val="3E507950"/>
    <w:rsid w:val="403B6685"/>
    <w:rsid w:val="409A0597"/>
    <w:rsid w:val="41606BBE"/>
    <w:rsid w:val="418514FD"/>
    <w:rsid w:val="428B3736"/>
    <w:rsid w:val="481D6AD6"/>
    <w:rsid w:val="484D3545"/>
    <w:rsid w:val="4B913DA2"/>
    <w:rsid w:val="4CFE5285"/>
    <w:rsid w:val="51870C7F"/>
    <w:rsid w:val="52375A62"/>
    <w:rsid w:val="53A44BEF"/>
    <w:rsid w:val="546E73C4"/>
    <w:rsid w:val="588B09A1"/>
    <w:rsid w:val="5CF61A9C"/>
    <w:rsid w:val="5D3C3272"/>
    <w:rsid w:val="5D8110DA"/>
    <w:rsid w:val="5E226DD9"/>
    <w:rsid w:val="5F856747"/>
    <w:rsid w:val="63DB0438"/>
    <w:rsid w:val="676E37C1"/>
    <w:rsid w:val="67865196"/>
    <w:rsid w:val="67CB7207"/>
    <w:rsid w:val="68316445"/>
    <w:rsid w:val="685D67B6"/>
    <w:rsid w:val="68CB7311"/>
    <w:rsid w:val="6BE7716C"/>
    <w:rsid w:val="6EAE08DF"/>
    <w:rsid w:val="6F4F445D"/>
    <w:rsid w:val="74D70CE5"/>
    <w:rsid w:val="755C2AC3"/>
    <w:rsid w:val="75BA2C0F"/>
    <w:rsid w:val="75C915AC"/>
    <w:rsid w:val="76787403"/>
    <w:rsid w:val="76B949B4"/>
    <w:rsid w:val="76C13C2D"/>
    <w:rsid w:val="76EC7906"/>
    <w:rsid w:val="76F33A1F"/>
    <w:rsid w:val="78070277"/>
    <w:rsid w:val="78EE086D"/>
    <w:rsid w:val="798C22E8"/>
    <w:rsid w:val="79C54D55"/>
    <w:rsid w:val="7B062E70"/>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next w:val="5"/>
    <w:autoRedefine/>
    <w:unhideWhenUsed/>
    <w:qFormat/>
    <w:uiPriority w:val="99"/>
    <w:rPr>
      <w:sz w:val="28"/>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6">
    <w:name w:val="Body Text Indent"/>
    <w:basedOn w:val="1"/>
    <w:next w:val="7"/>
    <w:autoRedefine/>
    <w:qFormat/>
    <w:uiPriority w:val="0"/>
    <w:pPr>
      <w:spacing w:after="120"/>
      <w:ind w:left="420"/>
    </w:pPr>
    <w:rPr>
      <w:kern w:val="1"/>
    </w:rPr>
  </w:style>
  <w:style w:type="paragraph" w:styleId="7">
    <w:name w:val="envelope return"/>
    <w:basedOn w:val="1"/>
    <w:link w:val="23"/>
    <w:autoRedefine/>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1">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2"/>
    <w:basedOn w:val="6"/>
    <w:autoRedefine/>
    <w:qFormat/>
    <w:uiPriority w:val="0"/>
    <w:pPr>
      <w:spacing w:line="360" w:lineRule="auto"/>
      <w:ind w:firstLine="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paragraph" w:customStyle="1" w:styleId="17">
    <w:name w:val="Char Char10 Char Char Char Char"/>
    <w:basedOn w:val="1"/>
    <w:next w:val="1"/>
    <w:autoRedefine/>
    <w:qFormat/>
    <w:uiPriority w:val="0"/>
    <w:rPr>
      <w:kern w:val="0"/>
    </w:rPr>
  </w:style>
  <w:style w:type="paragraph" w:customStyle="1" w:styleId="18">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9">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
    <w:name w:val="flType"/>
    <w:basedOn w:val="1"/>
    <w:autoRedefine/>
    <w:qFormat/>
    <w:uiPriority w:val="0"/>
    <w:pPr>
      <w:adjustRightInd w:val="0"/>
      <w:spacing w:after="284" w:afterLines="0" w:line="113" w:lineRule="atLeast"/>
      <w:jc w:val="center"/>
    </w:pPr>
    <w:rPr>
      <w:kern w:val="0"/>
      <w:sz w:val="24"/>
      <w:szCs w:val="20"/>
    </w:rPr>
  </w:style>
  <w:style w:type="paragraph" w:styleId="22">
    <w:name w:val="List Paragraph"/>
    <w:basedOn w:val="1"/>
    <w:autoRedefine/>
    <w:qFormat/>
    <w:uiPriority w:val="34"/>
    <w:pPr>
      <w:ind w:firstLine="420" w:firstLineChars="200"/>
    </w:pPr>
  </w:style>
  <w:style w:type="character" w:customStyle="1" w:styleId="23">
    <w:name w:val="寄信人地址 Char"/>
    <w:link w:val="7"/>
    <w:qFormat/>
    <w:uiPriority w:val="0"/>
    <w:rPr>
      <w:rFonts w:ascii="Arial" w:hAnsi="Arial"/>
    </w:rPr>
  </w:style>
  <w:style w:type="paragraph" w:customStyle="1" w:styleId="24">
    <w:name w:val="普通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8861</Words>
  <Characters>9294</Characters>
  <Lines>0</Lines>
  <Paragraphs>0</Paragraphs>
  <TotalTime>0</TotalTime>
  <ScaleCrop>false</ScaleCrop>
  <LinksUpToDate>false</LinksUpToDate>
  <CharactersWithSpaces>10238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dcterms:modified xsi:type="dcterms:W3CDTF">2024-12-20T06:08:32Z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D84C973EB20E4C918B9C467437DBAEFE_13</vt:lpwstr>
  </property>
</Properties>
</file>