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05D1B7">
      <w:pPr>
        <w:tabs>
          <w:tab w:val="left" w:pos="7050"/>
        </w:tabs>
        <w:spacing w:line="500" w:lineRule="exact"/>
        <w:ind w:left="-141" w:leftChars="-67" w:firstLine="141" w:firstLineChars="27"/>
        <w:rPr>
          <w:rFonts w:ascii="宋体" w:hAnsi="宋体" w:cs="宋体"/>
          <w:b/>
          <w:color w:val="auto"/>
          <w:sz w:val="52"/>
          <w:szCs w:val="52"/>
          <w:highlight w:val="none"/>
        </w:rPr>
      </w:pPr>
    </w:p>
    <w:p w14:paraId="5F1A2642">
      <w:pPr>
        <w:tabs>
          <w:tab w:val="left" w:pos="7050"/>
        </w:tabs>
        <w:spacing w:line="500" w:lineRule="exact"/>
        <w:ind w:left="-141" w:leftChars="-67" w:firstLine="141" w:firstLineChars="27"/>
        <w:jc w:val="center"/>
        <w:rPr>
          <w:rFonts w:ascii="宋体" w:hAnsi="宋体" w:cs="宋体"/>
          <w:b/>
          <w:color w:val="auto"/>
          <w:sz w:val="52"/>
          <w:szCs w:val="52"/>
          <w:highlight w:val="none"/>
        </w:rPr>
      </w:pPr>
    </w:p>
    <w:p w14:paraId="40735FB9">
      <w:pPr>
        <w:tabs>
          <w:tab w:val="left" w:pos="7050"/>
        </w:tabs>
        <w:spacing w:line="360" w:lineRule="auto"/>
        <w:jc w:val="center"/>
        <w:rPr>
          <w:rFonts w:ascii="宋体" w:hAnsi="宋体" w:cs="宋体"/>
          <w:b/>
          <w:color w:val="auto"/>
          <w:spacing w:val="20"/>
          <w:sz w:val="36"/>
          <w:szCs w:val="36"/>
          <w:highlight w:val="none"/>
        </w:rPr>
      </w:pPr>
      <w:r>
        <w:rPr>
          <w:rFonts w:hint="eastAsia" w:ascii="宋体" w:hAnsi="宋体" w:cs="宋体"/>
          <w:b/>
          <w:color w:val="auto"/>
          <w:spacing w:val="20"/>
          <w:sz w:val="36"/>
          <w:szCs w:val="36"/>
          <w:highlight w:val="none"/>
        </w:rPr>
        <w:t>如东县城湘江路南侧纵三路东侧地块（和美熙苑）建设项目前期物业管理服务项目</w:t>
      </w:r>
    </w:p>
    <w:p w14:paraId="700EFE47">
      <w:pPr>
        <w:pStyle w:val="9"/>
        <w:rPr>
          <w:rFonts w:ascii="宋体" w:hAnsi="宋体"/>
          <w:color w:val="auto"/>
          <w:highlight w:val="none"/>
        </w:rPr>
      </w:pPr>
    </w:p>
    <w:p w14:paraId="5590A87C">
      <w:pPr>
        <w:pStyle w:val="10"/>
        <w:rPr>
          <w:rFonts w:ascii="宋体" w:hAnsi="宋体" w:eastAsia="宋体"/>
          <w:color w:val="auto"/>
          <w:highlight w:val="none"/>
          <w:lang w:eastAsia="zh-CN"/>
        </w:rPr>
      </w:pPr>
    </w:p>
    <w:p w14:paraId="3AD45801">
      <w:pPr>
        <w:pStyle w:val="10"/>
        <w:rPr>
          <w:rFonts w:ascii="宋体" w:hAnsi="宋体" w:eastAsia="宋体"/>
          <w:color w:val="auto"/>
          <w:highlight w:val="none"/>
          <w:lang w:eastAsia="zh-CN"/>
        </w:rPr>
      </w:pPr>
    </w:p>
    <w:p w14:paraId="43FE8FD3">
      <w:pPr>
        <w:pStyle w:val="10"/>
        <w:rPr>
          <w:rFonts w:ascii="宋体" w:hAnsi="宋体" w:eastAsia="宋体"/>
          <w:color w:val="auto"/>
          <w:highlight w:val="none"/>
          <w:lang w:eastAsia="zh-CN"/>
        </w:rPr>
      </w:pPr>
    </w:p>
    <w:p w14:paraId="755648D5">
      <w:pPr>
        <w:pStyle w:val="10"/>
        <w:rPr>
          <w:rFonts w:ascii="宋体" w:hAnsi="宋体" w:eastAsia="宋体"/>
          <w:color w:val="auto"/>
          <w:highlight w:val="none"/>
          <w:lang w:eastAsia="zh-CN"/>
        </w:rPr>
      </w:pPr>
    </w:p>
    <w:p w14:paraId="409D65D0">
      <w:pPr>
        <w:pStyle w:val="10"/>
        <w:rPr>
          <w:rFonts w:ascii="宋体" w:hAnsi="宋体" w:eastAsia="宋体"/>
          <w:color w:val="auto"/>
          <w:highlight w:val="none"/>
          <w:lang w:eastAsia="zh-CN"/>
        </w:rPr>
      </w:pPr>
    </w:p>
    <w:p w14:paraId="420CADAB">
      <w:pPr>
        <w:pStyle w:val="10"/>
        <w:rPr>
          <w:rFonts w:ascii="宋体" w:hAnsi="宋体" w:eastAsia="宋体"/>
          <w:color w:val="auto"/>
          <w:highlight w:val="none"/>
          <w:lang w:eastAsia="zh-CN"/>
        </w:rPr>
      </w:pPr>
    </w:p>
    <w:p w14:paraId="7F3A0A97">
      <w:pPr>
        <w:pStyle w:val="10"/>
        <w:rPr>
          <w:rFonts w:ascii="宋体" w:hAnsi="宋体" w:eastAsia="宋体"/>
          <w:color w:val="auto"/>
          <w:highlight w:val="none"/>
          <w:lang w:eastAsia="zh-CN"/>
        </w:rPr>
      </w:pPr>
    </w:p>
    <w:p w14:paraId="264D37F2">
      <w:pPr>
        <w:pStyle w:val="10"/>
        <w:rPr>
          <w:rFonts w:ascii="宋体" w:hAnsi="宋体" w:eastAsia="宋体"/>
          <w:color w:val="auto"/>
          <w:highlight w:val="none"/>
          <w:lang w:eastAsia="zh-CN"/>
        </w:rPr>
      </w:pPr>
    </w:p>
    <w:p w14:paraId="6F1E0B33">
      <w:pPr>
        <w:pStyle w:val="10"/>
        <w:rPr>
          <w:rFonts w:ascii="宋体" w:hAnsi="宋体" w:eastAsia="宋体"/>
          <w:color w:val="auto"/>
          <w:highlight w:val="none"/>
          <w:lang w:eastAsia="zh-CN"/>
        </w:rPr>
      </w:pPr>
    </w:p>
    <w:p w14:paraId="03A206D5">
      <w:pPr>
        <w:spacing w:line="1120" w:lineRule="exact"/>
        <w:jc w:val="center"/>
        <w:rPr>
          <w:rFonts w:ascii="宋体" w:hAnsi="宋体" w:cs="宋体"/>
          <w:b/>
          <w:color w:val="auto"/>
          <w:sz w:val="52"/>
          <w:highlight w:val="none"/>
        </w:rPr>
      </w:pPr>
      <w:r>
        <w:rPr>
          <w:rFonts w:hint="eastAsia" w:ascii="宋体" w:hAnsi="宋体" w:cs="宋体"/>
          <w:b/>
          <w:color w:val="auto"/>
          <w:sz w:val="52"/>
          <w:highlight w:val="none"/>
          <w:lang w:val="en-US" w:eastAsia="zh-CN"/>
        </w:rPr>
        <w:t xml:space="preserve">招 标 </w:t>
      </w:r>
      <w:r>
        <w:rPr>
          <w:rFonts w:hint="eastAsia" w:ascii="宋体" w:hAnsi="宋体" w:cs="宋体"/>
          <w:b/>
          <w:color w:val="auto"/>
          <w:sz w:val="52"/>
          <w:highlight w:val="none"/>
        </w:rPr>
        <w:t>文</w:t>
      </w:r>
      <w:r>
        <w:rPr>
          <w:rFonts w:hint="eastAsia" w:ascii="宋体" w:hAnsi="宋体" w:cs="宋体"/>
          <w:b/>
          <w:color w:val="auto"/>
          <w:sz w:val="52"/>
          <w:highlight w:val="none"/>
          <w:lang w:val="en-US" w:eastAsia="zh-CN"/>
        </w:rPr>
        <w:t xml:space="preserve"> </w:t>
      </w:r>
      <w:r>
        <w:rPr>
          <w:rFonts w:hint="eastAsia" w:ascii="宋体" w:hAnsi="宋体" w:cs="宋体"/>
          <w:b/>
          <w:color w:val="auto"/>
          <w:sz w:val="52"/>
          <w:highlight w:val="none"/>
        </w:rPr>
        <w:t>件</w:t>
      </w:r>
    </w:p>
    <w:p w14:paraId="0410EEC2">
      <w:pPr>
        <w:tabs>
          <w:tab w:val="left" w:pos="7050"/>
        </w:tabs>
        <w:spacing w:line="500" w:lineRule="exact"/>
        <w:ind w:firstLine="3587" w:firstLineChars="993"/>
        <w:rPr>
          <w:rFonts w:ascii="宋体" w:hAnsi="宋体" w:cs="宋体"/>
          <w:b/>
          <w:color w:val="auto"/>
          <w:spacing w:val="20"/>
          <w:sz w:val="32"/>
          <w:szCs w:val="32"/>
          <w:highlight w:val="none"/>
        </w:rPr>
      </w:pPr>
    </w:p>
    <w:p w14:paraId="08B64844">
      <w:pPr>
        <w:pStyle w:val="9"/>
        <w:rPr>
          <w:rFonts w:ascii="宋体" w:hAnsi="宋体"/>
          <w:color w:val="auto"/>
          <w:highlight w:val="none"/>
        </w:rPr>
      </w:pPr>
    </w:p>
    <w:p w14:paraId="49EA351B">
      <w:pPr>
        <w:pStyle w:val="10"/>
        <w:rPr>
          <w:rFonts w:ascii="宋体" w:hAnsi="宋体" w:eastAsia="宋体"/>
          <w:color w:val="auto"/>
          <w:highlight w:val="none"/>
          <w:lang w:eastAsia="zh-CN"/>
        </w:rPr>
      </w:pPr>
    </w:p>
    <w:p w14:paraId="59255562">
      <w:pPr>
        <w:pStyle w:val="10"/>
        <w:rPr>
          <w:rFonts w:ascii="宋体" w:hAnsi="宋体" w:eastAsia="宋体"/>
          <w:color w:val="auto"/>
          <w:highlight w:val="none"/>
          <w:lang w:eastAsia="zh-CN"/>
        </w:rPr>
      </w:pPr>
    </w:p>
    <w:p w14:paraId="42F943CF">
      <w:pPr>
        <w:pStyle w:val="10"/>
        <w:rPr>
          <w:rFonts w:ascii="宋体" w:hAnsi="宋体" w:eastAsia="宋体"/>
          <w:color w:val="auto"/>
          <w:highlight w:val="none"/>
          <w:lang w:eastAsia="zh-CN"/>
        </w:rPr>
      </w:pPr>
    </w:p>
    <w:p w14:paraId="4A910A2F">
      <w:pPr>
        <w:pStyle w:val="10"/>
        <w:rPr>
          <w:rFonts w:ascii="宋体" w:hAnsi="宋体" w:eastAsia="宋体"/>
          <w:color w:val="auto"/>
          <w:highlight w:val="none"/>
          <w:lang w:eastAsia="zh-CN"/>
        </w:rPr>
      </w:pPr>
    </w:p>
    <w:p w14:paraId="1DAB7FE7">
      <w:pPr>
        <w:tabs>
          <w:tab w:val="left" w:pos="7050"/>
        </w:tabs>
        <w:spacing w:line="500" w:lineRule="exact"/>
        <w:ind w:firstLine="2872" w:firstLineChars="795"/>
        <w:rPr>
          <w:rFonts w:ascii="宋体" w:hAnsi="宋体" w:cs="宋体"/>
          <w:b/>
          <w:color w:val="auto"/>
          <w:spacing w:val="20"/>
          <w:sz w:val="32"/>
          <w:szCs w:val="32"/>
          <w:highlight w:val="none"/>
        </w:rPr>
      </w:pPr>
    </w:p>
    <w:p w14:paraId="40916D76">
      <w:pPr>
        <w:tabs>
          <w:tab w:val="left" w:pos="7050"/>
        </w:tabs>
        <w:spacing w:line="500" w:lineRule="exact"/>
        <w:rPr>
          <w:rFonts w:ascii="宋体" w:hAnsi="宋体" w:cs="宋体"/>
          <w:b/>
          <w:color w:val="auto"/>
          <w:sz w:val="24"/>
          <w:szCs w:val="24"/>
          <w:highlight w:val="none"/>
          <w:u w:val="single"/>
        </w:rPr>
      </w:pPr>
    </w:p>
    <w:p w14:paraId="080D208F">
      <w:pPr>
        <w:spacing w:line="360" w:lineRule="auto"/>
        <w:ind w:firstLine="1158" w:firstLineChars="412"/>
        <w:jc w:val="left"/>
        <w:rPr>
          <w:rFonts w:ascii="宋体" w:hAnsi="宋体" w:cs="宋体"/>
          <w:b/>
          <w:color w:val="auto"/>
          <w:sz w:val="28"/>
          <w:szCs w:val="28"/>
          <w:highlight w:val="none"/>
          <w:u w:val="single"/>
        </w:rPr>
      </w:pPr>
      <w:r>
        <w:rPr>
          <w:rFonts w:hint="eastAsia" w:ascii="宋体" w:hAnsi="宋体" w:cs="宋体"/>
          <w:b/>
          <w:color w:val="auto"/>
          <w:sz w:val="28"/>
          <w:szCs w:val="28"/>
          <w:highlight w:val="none"/>
          <w:lang w:val="en-US" w:eastAsia="zh-CN"/>
        </w:rPr>
        <w:t>招标</w:t>
      </w:r>
      <w:r>
        <w:rPr>
          <w:rFonts w:hint="eastAsia" w:ascii="宋体" w:hAnsi="宋体" w:cs="宋体"/>
          <w:b/>
          <w:color w:val="auto"/>
          <w:sz w:val="28"/>
          <w:szCs w:val="28"/>
          <w:highlight w:val="none"/>
        </w:rPr>
        <w:t>单位名称：</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如东县欣荣城镇开发建设有限公司</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14:paraId="1DD46BB8">
      <w:pPr>
        <w:pStyle w:val="21"/>
        <w:spacing w:after="0"/>
        <w:ind w:left="0" w:leftChars="0" w:firstLine="1158" w:firstLineChars="412"/>
        <w:rPr>
          <w:rFonts w:ascii="宋体" w:hAnsi="宋体" w:cs="宋体"/>
          <w:b/>
          <w:color w:val="auto"/>
          <w:kern w:val="2"/>
          <w:sz w:val="28"/>
          <w:szCs w:val="28"/>
          <w:highlight w:val="none"/>
        </w:rPr>
      </w:pPr>
      <w:r>
        <w:rPr>
          <w:rFonts w:hint="eastAsia" w:ascii="宋体" w:hAnsi="宋体" w:cs="宋体"/>
          <w:b/>
          <w:color w:val="auto"/>
          <w:kern w:val="2"/>
          <w:sz w:val="28"/>
          <w:szCs w:val="28"/>
          <w:highlight w:val="none"/>
          <w:lang w:val="en-US" w:eastAsia="zh-CN"/>
        </w:rPr>
        <w:t>招标</w:t>
      </w:r>
      <w:r>
        <w:rPr>
          <w:rFonts w:hint="eastAsia" w:ascii="宋体" w:hAnsi="宋体" w:cs="宋体"/>
          <w:b/>
          <w:color w:val="auto"/>
          <w:kern w:val="2"/>
          <w:sz w:val="28"/>
          <w:szCs w:val="28"/>
          <w:highlight w:val="none"/>
        </w:rPr>
        <w:t>代理</w:t>
      </w:r>
      <w:r>
        <w:rPr>
          <w:rFonts w:hint="eastAsia" w:ascii="宋体" w:hAnsi="宋体" w:cs="宋体"/>
          <w:b/>
          <w:color w:val="auto"/>
          <w:sz w:val="28"/>
          <w:szCs w:val="28"/>
          <w:highlight w:val="none"/>
        </w:rPr>
        <w:t>名称</w:t>
      </w:r>
      <w:r>
        <w:rPr>
          <w:rFonts w:hint="eastAsia" w:ascii="宋体" w:hAnsi="宋体" w:cs="宋体"/>
          <w:b/>
          <w:color w:val="auto"/>
          <w:kern w:val="2"/>
          <w:sz w:val="28"/>
          <w:szCs w:val="28"/>
          <w:highlight w:val="none"/>
        </w:rPr>
        <w:t>：</w:t>
      </w:r>
      <w:r>
        <w:rPr>
          <w:rFonts w:hint="eastAsia" w:ascii="宋体" w:hAnsi="宋体" w:cs="宋体"/>
          <w:b/>
          <w:color w:val="auto"/>
          <w:kern w:val="2"/>
          <w:sz w:val="28"/>
          <w:szCs w:val="28"/>
          <w:highlight w:val="none"/>
          <w:u w:val="single"/>
        </w:rPr>
        <w:t xml:space="preserve"> </w:t>
      </w:r>
      <w:r>
        <w:rPr>
          <w:rFonts w:hint="eastAsia" w:ascii="宋体" w:hAnsi="宋体" w:cs="宋体"/>
          <w:b/>
          <w:color w:val="auto"/>
          <w:kern w:val="2"/>
          <w:sz w:val="28"/>
          <w:szCs w:val="28"/>
          <w:highlight w:val="none"/>
          <w:u w:val="single"/>
          <w:lang w:val="en-US" w:eastAsia="zh-CN"/>
        </w:rPr>
        <w:t xml:space="preserve">  </w:t>
      </w:r>
      <w:r>
        <w:rPr>
          <w:rFonts w:hint="eastAsia" w:ascii="宋体" w:hAnsi="宋体" w:cs="宋体"/>
          <w:b/>
          <w:color w:val="auto"/>
          <w:kern w:val="2"/>
          <w:sz w:val="28"/>
          <w:szCs w:val="28"/>
          <w:highlight w:val="none"/>
          <w:u w:val="single"/>
        </w:rPr>
        <w:t xml:space="preserve">江苏建达全过程工程咨询有限公司   </w:t>
      </w:r>
    </w:p>
    <w:p w14:paraId="71ED8DE5">
      <w:pPr>
        <w:tabs>
          <w:tab w:val="left" w:pos="7050"/>
        </w:tabs>
        <w:spacing w:line="360" w:lineRule="auto"/>
        <w:ind w:firstLine="1158" w:firstLineChars="412"/>
        <w:jc w:val="left"/>
        <w:rPr>
          <w:rFonts w:ascii="宋体" w:hAnsi="宋体" w:cs="宋体"/>
          <w:b/>
          <w:color w:val="auto"/>
          <w:sz w:val="28"/>
          <w:szCs w:val="28"/>
          <w:highlight w:val="none"/>
          <w:u w:val="single"/>
        </w:rPr>
      </w:pPr>
      <w:r>
        <w:rPr>
          <w:rFonts w:hint="eastAsia" w:ascii="宋体" w:hAnsi="宋体" w:cs="宋体"/>
          <w:b/>
          <w:color w:val="auto"/>
          <w:sz w:val="28"/>
          <w:szCs w:val="28"/>
          <w:highlight w:val="none"/>
          <w:lang w:val="en-US" w:eastAsia="zh-CN"/>
        </w:rPr>
        <w:t xml:space="preserve">招 标 </w:t>
      </w:r>
      <w:r>
        <w:rPr>
          <w:rFonts w:hint="eastAsia" w:ascii="宋体" w:hAnsi="宋体" w:cs="宋体"/>
          <w:b/>
          <w:color w:val="auto"/>
          <w:sz w:val="28"/>
          <w:szCs w:val="28"/>
          <w:highlight w:val="none"/>
        </w:rPr>
        <w:t xml:space="preserve">方 式 :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公开招标</w:t>
      </w:r>
      <w:r>
        <w:rPr>
          <w:rFonts w:hint="eastAsia" w:ascii="宋体" w:hAnsi="宋体" w:cs="宋体"/>
          <w:b/>
          <w:color w:val="auto"/>
          <w:sz w:val="28"/>
          <w:szCs w:val="28"/>
          <w:highlight w:val="none"/>
          <w:u w:val="single"/>
        </w:rPr>
        <w:t xml:space="preserve">              </w:t>
      </w:r>
    </w:p>
    <w:p w14:paraId="78050AC3">
      <w:pPr>
        <w:tabs>
          <w:tab w:val="left" w:pos="7050"/>
        </w:tabs>
        <w:spacing w:line="560" w:lineRule="exact"/>
        <w:ind w:firstLine="2361" w:firstLineChars="840"/>
        <w:jc w:val="center"/>
        <w:rPr>
          <w:rFonts w:ascii="宋体" w:hAnsi="宋体" w:cs="宋体"/>
          <w:b/>
          <w:color w:val="auto"/>
          <w:sz w:val="28"/>
          <w:szCs w:val="28"/>
          <w:highlight w:val="none"/>
        </w:rPr>
      </w:pPr>
    </w:p>
    <w:p w14:paraId="23052A68">
      <w:pPr>
        <w:spacing w:line="560" w:lineRule="exact"/>
        <w:jc w:val="center"/>
        <w:rPr>
          <w:rFonts w:hint="default" w:ascii="宋体" w:hAnsi="宋体" w:eastAsia="宋体" w:cs="宋体"/>
          <w:b/>
          <w:bCs/>
          <w:color w:val="auto"/>
          <w:sz w:val="28"/>
          <w:szCs w:val="28"/>
          <w:highlight w:val="none"/>
          <w:lang w:val="en-US" w:eastAsia="zh-CN"/>
        </w:rPr>
        <w:sectPr>
          <w:footerReference r:id="rId5" w:type="first"/>
          <w:headerReference r:id="rId3" w:type="default"/>
          <w:footerReference r:id="rId4" w:type="even"/>
          <w:pgSz w:w="11906" w:h="16838"/>
          <w:pgMar w:top="850" w:right="1274" w:bottom="850" w:left="1440" w:header="851" w:footer="992" w:gutter="0"/>
          <w:pgNumType w:start="1"/>
          <w:cols w:space="720" w:num="1"/>
          <w:titlePg/>
          <w:docGrid w:type="lines" w:linePitch="312" w:charSpace="0"/>
        </w:sectPr>
      </w:pPr>
      <w:r>
        <w:rPr>
          <w:rFonts w:hint="eastAsia" w:ascii="宋体" w:hAnsi="宋体" w:cs="宋体"/>
          <w:b/>
          <w:color w:val="auto"/>
          <w:sz w:val="28"/>
          <w:szCs w:val="28"/>
          <w:highlight w:val="none"/>
        </w:rPr>
        <w:t>二0二四年</w:t>
      </w:r>
      <w:r>
        <w:rPr>
          <w:rFonts w:hint="eastAsia" w:ascii="宋体" w:hAnsi="宋体" w:cs="宋体"/>
          <w:b/>
          <w:color w:val="auto"/>
          <w:sz w:val="28"/>
          <w:szCs w:val="28"/>
          <w:highlight w:val="none"/>
          <w:lang w:val="en-US" w:eastAsia="zh-CN"/>
        </w:rPr>
        <w:t>十一</w:t>
      </w:r>
      <w:r>
        <w:rPr>
          <w:rFonts w:hint="eastAsia" w:ascii="宋体" w:hAnsi="宋体" w:cs="宋体"/>
          <w:b/>
          <w:color w:val="auto"/>
          <w:sz w:val="28"/>
          <w:szCs w:val="28"/>
          <w:highlight w:val="none"/>
        </w:rPr>
        <w:t>月</w:t>
      </w:r>
      <w:r>
        <w:rPr>
          <w:rFonts w:hint="eastAsia" w:ascii="宋体" w:hAnsi="宋体" w:cs="宋体"/>
          <w:b/>
          <w:color w:val="auto"/>
          <w:sz w:val="28"/>
          <w:szCs w:val="28"/>
          <w:highlight w:val="none"/>
          <w:lang w:val="en-US" w:eastAsia="zh-CN"/>
        </w:rPr>
        <w:t>十八</w:t>
      </w:r>
      <w:r>
        <w:rPr>
          <w:rFonts w:hint="eastAsia" w:ascii="宋体" w:hAnsi="宋体" w:cs="宋体"/>
          <w:b/>
          <w:color w:val="auto"/>
          <w:sz w:val="28"/>
          <w:szCs w:val="28"/>
          <w:highlight w:val="none"/>
          <w:lang w:val="en-US" w:eastAsia="zh-CN"/>
        </w:rPr>
        <w:t>日</w:t>
      </w:r>
    </w:p>
    <w:p w14:paraId="101B982F">
      <w:pPr>
        <w:spacing w:line="42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 xml:space="preserve">第一部分  </w:t>
      </w:r>
      <w:bookmarkStart w:id="0" w:name="_Hlk121738273"/>
      <w:r>
        <w:rPr>
          <w:rFonts w:hint="eastAsia" w:ascii="宋体" w:hAnsi="宋体" w:cs="宋体"/>
          <w:b/>
          <w:bCs/>
          <w:color w:val="auto"/>
          <w:sz w:val="30"/>
          <w:szCs w:val="30"/>
          <w:highlight w:val="none"/>
          <w:lang w:val="en-US" w:eastAsia="zh-CN"/>
        </w:rPr>
        <w:t>招标</w:t>
      </w:r>
      <w:r>
        <w:rPr>
          <w:rFonts w:hint="eastAsia" w:ascii="宋体" w:hAnsi="宋体" w:cs="宋体"/>
          <w:b/>
          <w:bCs/>
          <w:color w:val="auto"/>
          <w:sz w:val="30"/>
          <w:szCs w:val="30"/>
          <w:highlight w:val="none"/>
        </w:rPr>
        <w:t xml:space="preserve">公告 </w:t>
      </w:r>
    </w:p>
    <w:bookmarkEnd w:id="0"/>
    <w:p w14:paraId="778EDA0B">
      <w:pPr>
        <w:pBdr>
          <w:top w:val="single" w:color="auto" w:sz="4" w:space="1"/>
          <w:left w:val="single" w:color="auto" w:sz="4" w:space="4"/>
          <w:bottom w:val="single" w:color="auto" w:sz="4" w:space="8"/>
          <w:right w:val="single" w:color="auto" w:sz="4" w:space="4"/>
        </w:pBdr>
        <w:spacing w:line="440" w:lineRule="exact"/>
        <w:rPr>
          <w:rFonts w:ascii="宋体" w:hAnsi="宋体"/>
          <w:color w:val="auto"/>
          <w:sz w:val="24"/>
          <w:highlight w:val="none"/>
        </w:rPr>
      </w:pPr>
      <w:bookmarkStart w:id="1" w:name="OLE_LINK3"/>
      <w:bookmarkStart w:id="2" w:name="OLE_LINK2"/>
      <w:r>
        <w:rPr>
          <w:rFonts w:hint="eastAsia" w:ascii="宋体" w:hAnsi="宋体"/>
          <w:color w:val="auto"/>
          <w:sz w:val="24"/>
          <w:highlight w:val="none"/>
        </w:rPr>
        <w:t>项目概况：</w:t>
      </w:r>
    </w:p>
    <w:p w14:paraId="1449683A">
      <w:pPr>
        <w:pBdr>
          <w:top w:val="single" w:color="auto" w:sz="4" w:space="1"/>
          <w:left w:val="single" w:color="auto" w:sz="4" w:space="4"/>
          <w:bottom w:val="single" w:color="auto" w:sz="4" w:space="8"/>
          <w:right w:val="single" w:color="auto" w:sz="4" w:space="4"/>
        </w:pBdr>
        <w:spacing w:line="440" w:lineRule="exact"/>
        <w:ind w:firstLine="480" w:firstLineChars="200"/>
        <w:rPr>
          <w:rFonts w:ascii="宋体" w:hAnsi="宋体"/>
          <w:color w:val="auto"/>
          <w:sz w:val="24"/>
          <w:highlight w:val="none"/>
        </w:rPr>
      </w:pPr>
      <w:r>
        <w:rPr>
          <w:rFonts w:hint="eastAsia" w:ascii="宋体" w:hAnsi="宋体"/>
          <w:color w:val="auto"/>
          <w:sz w:val="24"/>
          <w:highlight w:val="none"/>
        </w:rPr>
        <w:t>如东县城湘江路南侧纵三路东侧地块（和美熙苑）建设项目前期物业管理服务项目的潜在供应商应在</w:t>
      </w:r>
      <w:r>
        <w:rPr>
          <w:rFonts w:hint="eastAsia" w:ascii="宋体" w:hAnsi="宋体" w:cs="宋体"/>
          <w:bCs/>
          <w:color w:val="auto"/>
          <w:kern w:val="0"/>
          <w:sz w:val="24"/>
          <w:szCs w:val="24"/>
          <w:highlight w:val="none"/>
        </w:rPr>
        <w:t>东和集团</w:t>
      </w:r>
      <w:r>
        <w:rPr>
          <w:rFonts w:hint="eastAsia" w:ascii="宋体" w:hAnsi="宋体" w:cs="宋体"/>
          <w:color w:val="auto"/>
          <w:kern w:val="0"/>
          <w:sz w:val="24"/>
          <w:szCs w:val="24"/>
          <w:highlight w:val="none"/>
        </w:rPr>
        <w:t>国有企业平台</w:t>
      </w:r>
      <w:r>
        <w:rPr>
          <w:rFonts w:hint="eastAsia" w:ascii="宋体" w:hAnsi="宋体" w:cs="宋体"/>
          <w:color w:val="auto"/>
          <w:sz w:val="24"/>
          <w:highlight w:val="none"/>
        </w:rPr>
        <w:t>（网址详见附件）</w:t>
      </w:r>
      <w:r>
        <w:rPr>
          <w:rFonts w:hint="eastAsia" w:ascii="宋体" w:hAnsi="宋体"/>
          <w:color w:val="auto"/>
          <w:sz w:val="24"/>
          <w:highlight w:val="none"/>
        </w:rPr>
        <w:t>获取</w:t>
      </w:r>
      <w:r>
        <w:rPr>
          <w:rFonts w:hint="eastAsia" w:ascii="宋体" w:hAnsi="宋体"/>
          <w:color w:val="auto"/>
          <w:sz w:val="24"/>
          <w:highlight w:val="none"/>
          <w:lang w:val="en-US" w:eastAsia="zh-CN"/>
        </w:rPr>
        <w:t>招标</w:t>
      </w:r>
      <w:r>
        <w:rPr>
          <w:rFonts w:hint="eastAsia" w:ascii="宋体" w:hAnsi="宋体"/>
          <w:color w:val="auto"/>
          <w:sz w:val="24"/>
          <w:highlight w:val="none"/>
        </w:rPr>
        <w:t>文件，并于</w:t>
      </w:r>
      <w:r>
        <w:rPr>
          <w:rFonts w:hint="eastAsia" w:ascii="宋体" w:hAnsi="宋体"/>
          <w:color w:val="auto"/>
          <w:sz w:val="24"/>
          <w:highlight w:val="none"/>
          <w:u w:val="single"/>
        </w:rPr>
        <w:t>2024年</w:t>
      </w:r>
      <w:r>
        <w:rPr>
          <w:rFonts w:hint="eastAsia" w:ascii="宋体" w:hAnsi="宋体"/>
          <w:color w:val="auto"/>
          <w:sz w:val="24"/>
          <w:highlight w:val="none"/>
          <w:u w:val="single"/>
          <w:lang w:val="en-US" w:eastAsia="zh-CN"/>
        </w:rPr>
        <w:t>11</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22</w:t>
      </w:r>
      <w:r>
        <w:rPr>
          <w:rFonts w:hint="eastAsia" w:ascii="宋体" w:hAnsi="宋体"/>
          <w:color w:val="auto"/>
          <w:sz w:val="24"/>
          <w:highlight w:val="none"/>
          <w:u w:val="single"/>
        </w:rPr>
        <w:t>日</w:t>
      </w:r>
      <w:r>
        <w:rPr>
          <w:rFonts w:hint="eastAsia" w:ascii="宋体" w:hAnsi="宋体"/>
          <w:color w:val="auto"/>
          <w:sz w:val="24"/>
          <w:highlight w:val="none"/>
          <w:u w:val="single"/>
          <w:lang w:val="en-US" w:eastAsia="zh-CN"/>
        </w:rPr>
        <w:t>上午</w:t>
      </w:r>
      <w:r>
        <w:rPr>
          <w:rFonts w:hint="eastAsia" w:ascii="宋体" w:hAnsi="宋体"/>
          <w:color w:val="auto"/>
          <w:sz w:val="24"/>
          <w:highlight w:val="none"/>
          <w:u w:val="single"/>
        </w:rPr>
        <w:t>9时</w:t>
      </w:r>
      <w:r>
        <w:rPr>
          <w:rFonts w:hint="eastAsia" w:ascii="宋体" w:hAnsi="宋体"/>
          <w:bCs/>
          <w:color w:val="auto"/>
          <w:sz w:val="24"/>
          <w:highlight w:val="none"/>
        </w:rPr>
        <w:t>（北京时间）前提交响应文件</w:t>
      </w:r>
      <w:r>
        <w:rPr>
          <w:rFonts w:hint="eastAsia" w:ascii="宋体" w:hAnsi="宋体"/>
          <w:color w:val="auto"/>
          <w:sz w:val="24"/>
          <w:highlight w:val="none"/>
        </w:rPr>
        <w:t>。</w:t>
      </w:r>
    </w:p>
    <w:p w14:paraId="4F28BE6B">
      <w:pPr>
        <w:spacing w:line="360" w:lineRule="auto"/>
        <w:ind w:firstLine="482" w:firstLineChars="200"/>
        <w:rPr>
          <w:rFonts w:ascii="宋体" w:hAnsi="宋体" w:cs="宋体"/>
          <w:b/>
          <w:color w:val="auto"/>
          <w:kern w:val="1"/>
          <w:sz w:val="24"/>
          <w:szCs w:val="24"/>
          <w:highlight w:val="none"/>
        </w:rPr>
      </w:pPr>
      <w:bookmarkStart w:id="3" w:name="_Toc28359012"/>
      <w:bookmarkStart w:id="4" w:name="_Toc28359089"/>
      <w:bookmarkStart w:id="5" w:name="_Toc35393629"/>
      <w:bookmarkStart w:id="6" w:name="_Toc35393798"/>
      <w:r>
        <w:rPr>
          <w:rFonts w:hint="eastAsia" w:ascii="宋体" w:hAnsi="宋体" w:cs="宋体"/>
          <w:b/>
          <w:color w:val="auto"/>
          <w:kern w:val="1"/>
          <w:sz w:val="24"/>
          <w:szCs w:val="24"/>
          <w:highlight w:val="none"/>
        </w:rPr>
        <w:t>一、项目基本情况</w:t>
      </w:r>
      <w:bookmarkEnd w:id="3"/>
      <w:bookmarkEnd w:id="4"/>
      <w:bookmarkEnd w:id="5"/>
      <w:bookmarkEnd w:id="6"/>
    </w:p>
    <w:p w14:paraId="280F6D8D">
      <w:pPr>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项目编号：</w:t>
      </w:r>
      <w:r>
        <w:rPr>
          <w:rFonts w:hint="eastAsia" w:ascii="宋体" w:hAnsi="宋体" w:cs="宋体"/>
          <w:color w:val="auto"/>
          <w:kern w:val="1"/>
          <w:sz w:val="24"/>
          <w:szCs w:val="24"/>
          <w:highlight w:val="none"/>
        </w:rPr>
        <w:t>DHJY20241118001</w:t>
      </w:r>
    </w:p>
    <w:p w14:paraId="7D67A0D2">
      <w:pPr>
        <w:spacing w:line="360" w:lineRule="auto"/>
        <w:ind w:firstLine="480" w:firstLineChars="200"/>
        <w:rPr>
          <w:rFonts w:ascii="宋体" w:hAnsi="宋体" w:cs="宋体"/>
          <w:color w:val="auto"/>
          <w:kern w:val="1"/>
          <w:sz w:val="24"/>
          <w:szCs w:val="24"/>
          <w:highlight w:val="none"/>
        </w:rPr>
      </w:pPr>
      <w:r>
        <w:rPr>
          <w:rFonts w:hint="eastAsia" w:ascii="宋体" w:hAnsi="宋体" w:cs="宋体"/>
          <w:color w:val="auto"/>
          <w:kern w:val="1"/>
          <w:sz w:val="24"/>
          <w:szCs w:val="24"/>
          <w:highlight w:val="none"/>
        </w:rPr>
        <w:t>项目名称：如东县城湘江路南侧纵三路东侧地块（和美熙苑）建设项目前期物业管理服务项目</w:t>
      </w:r>
    </w:p>
    <w:p w14:paraId="2FA3BD0E">
      <w:pPr>
        <w:spacing w:line="360" w:lineRule="auto"/>
        <w:ind w:firstLine="480" w:firstLineChars="200"/>
        <w:rPr>
          <w:rFonts w:hint="default" w:ascii="宋体" w:hAnsi="宋体" w:eastAsia="宋体" w:cs="宋体"/>
          <w:color w:val="auto"/>
          <w:kern w:val="1"/>
          <w:sz w:val="24"/>
          <w:szCs w:val="24"/>
          <w:highlight w:val="none"/>
          <w:lang w:val="en-US" w:eastAsia="zh-CN"/>
        </w:rPr>
      </w:pPr>
      <w:r>
        <w:rPr>
          <w:rFonts w:hint="eastAsia" w:ascii="宋体" w:hAnsi="宋体" w:cs="宋体"/>
          <w:color w:val="auto"/>
          <w:kern w:val="1"/>
          <w:sz w:val="24"/>
          <w:szCs w:val="24"/>
          <w:highlight w:val="none"/>
          <w:lang w:val="en-US" w:eastAsia="zh-CN"/>
        </w:rPr>
        <w:t>招标</w:t>
      </w:r>
      <w:r>
        <w:rPr>
          <w:rFonts w:hint="eastAsia" w:ascii="宋体" w:hAnsi="宋体" w:cs="宋体"/>
          <w:color w:val="auto"/>
          <w:kern w:val="1"/>
          <w:sz w:val="24"/>
          <w:szCs w:val="24"/>
          <w:highlight w:val="none"/>
        </w:rPr>
        <w:t>方式：</w:t>
      </w:r>
      <w:r>
        <w:rPr>
          <w:rFonts w:hint="eastAsia" w:ascii="宋体" w:hAnsi="宋体" w:cs="宋体"/>
          <w:color w:val="auto"/>
          <w:kern w:val="1"/>
          <w:sz w:val="24"/>
          <w:szCs w:val="24"/>
          <w:highlight w:val="none"/>
          <w:lang w:val="en-US" w:eastAsia="zh-CN"/>
        </w:rPr>
        <w:t>公开招标</w:t>
      </w:r>
    </w:p>
    <w:p w14:paraId="7CD5CF11">
      <w:pPr>
        <w:spacing w:line="360" w:lineRule="auto"/>
        <w:ind w:firstLine="480" w:firstLineChars="200"/>
        <w:rPr>
          <w:rFonts w:ascii="宋体" w:hAnsi="宋体"/>
          <w:color w:val="auto"/>
          <w:sz w:val="24"/>
          <w:highlight w:val="none"/>
        </w:rPr>
      </w:pPr>
      <w:r>
        <w:rPr>
          <w:rFonts w:hint="eastAsia" w:ascii="宋体" w:hAnsi="宋体" w:cs="宋体"/>
          <w:color w:val="auto"/>
          <w:kern w:val="1"/>
          <w:sz w:val="24"/>
          <w:szCs w:val="24"/>
          <w:highlight w:val="none"/>
        </w:rPr>
        <w:t>最高限价</w:t>
      </w:r>
      <w:r>
        <w:rPr>
          <w:rFonts w:hint="eastAsia" w:ascii="宋体" w:hAnsi="宋体" w:cs="宋体"/>
          <w:color w:val="auto"/>
          <w:kern w:val="1"/>
          <w:sz w:val="24"/>
          <w:szCs w:val="24"/>
          <w:highlight w:val="none"/>
          <w:lang w:eastAsia="zh-CN"/>
        </w:rPr>
        <w:t>（</w:t>
      </w:r>
      <w:r>
        <w:rPr>
          <w:rFonts w:hint="eastAsia" w:ascii="宋体" w:hAnsi="宋体" w:cs="宋体"/>
          <w:color w:val="auto"/>
          <w:kern w:val="1"/>
          <w:sz w:val="24"/>
          <w:szCs w:val="24"/>
          <w:highlight w:val="none"/>
          <w:lang w:val="en-US" w:eastAsia="zh-CN"/>
        </w:rPr>
        <w:t>三年</w:t>
      </w:r>
      <w:r>
        <w:rPr>
          <w:rFonts w:hint="eastAsia" w:ascii="宋体" w:hAnsi="宋体" w:cs="宋体"/>
          <w:color w:val="auto"/>
          <w:kern w:val="1"/>
          <w:sz w:val="24"/>
          <w:szCs w:val="24"/>
          <w:highlight w:val="none"/>
          <w:lang w:eastAsia="zh-CN"/>
        </w:rPr>
        <w:t>前期物业服务费包含前期介入服务费）</w:t>
      </w:r>
      <w:r>
        <w:rPr>
          <w:rFonts w:hint="eastAsia" w:ascii="宋体" w:hAnsi="宋体" w:cs="宋体"/>
          <w:color w:val="auto"/>
          <w:kern w:val="1"/>
          <w:sz w:val="24"/>
          <w:szCs w:val="24"/>
          <w:highlight w:val="none"/>
        </w:rPr>
        <w:t>：</w:t>
      </w:r>
      <w:bookmarkStart w:id="7" w:name="_Hlk152942106"/>
      <w:r>
        <w:rPr>
          <w:rFonts w:hint="eastAsia" w:ascii="宋体" w:hAnsi="宋体" w:cs="宋体"/>
          <w:b/>
          <w:bCs/>
          <w:color w:val="auto"/>
          <w:sz w:val="24"/>
          <w:highlight w:val="none"/>
          <w:u w:val="single"/>
        </w:rPr>
        <w:t>5591147.97元</w:t>
      </w:r>
      <w:r>
        <w:rPr>
          <w:rFonts w:hint="eastAsia" w:ascii="宋体" w:hAnsi="宋体" w:cs="宋体"/>
          <w:color w:val="auto"/>
          <w:kern w:val="0"/>
          <w:sz w:val="24"/>
          <w:szCs w:val="24"/>
          <w:highlight w:val="none"/>
        </w:rPr>
        <w:t>[各投标单位书面投标文件中的投标报价低于（不含等于）最高限价的为有效报价，否则视为无效报价，作废标处理]</w:t>
      </w:r>
      <w:bookmarkEnd w:id="7"/>
    </w:p>
    <w:p w14:paraId="6D2D52E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明细如下：</w:t>
      </w:r>
    </w:p>
    <w:p w14:paraId="6BE25F6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1、前期介入服务费控制价￥人民币（小写）</w:t>
      </w:r>
      <w:r>
        <w:rPr>
          <w:rFonts w:hint="eastAsia" w:ascii="宋体" w:hAnsi="宋体"/>
          <w:color w:val="auto"/>
          <w:sz w:val="24"/>
          <w:highlight w:val="none"/>
          <w:u w:val="single"/>
        </w:rPr>
        <w:t>304285.9</w:t>
      </w:r>
      <w:r>
        <w:rPr>
          <w:rFonts w:hint="eastAsia" w:ascii="宋体" w:hAnsi="宋体"/>
          <w:color w:val="auto"/>
          <w:sz w:val="24"/>
          <w:highlight w:val="none"/>
        </w:rPr>
        <w:t>元，大写：叁拾万肆仟贰佰捌拾伍圆玖角；</w:t>
      </w:r>
    </w:p>
    <w:p w14:paraId="2FA71B4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2、前期物业服务费控制价￥人民币（小写）</w:t>
      </w:r>
      <w:r>
        <w:rPr>
          <w:rFonts w:hint="eastAsia" w:ascii="宋体" w:hAnsi="宋体"/>
          <w:color w:val="auto"/>
          <w:sz w:val="24"/>
          <w:highlight w:val="none"/>
          <w:u w:val="single"/>
        </w:rPr>
        <w:t>4092382.07</w:t>
      </w:r>
      <w:r>
        <w:rPr>
          <w:rFonts w:hint="eastAsia" w:ascii="宋体" w:hAnsi="宋体"/>
          <w:color w:val="auto"/>
          <w:sz w:val="24"/>
          <w:highlight w:val="none"/>
        </w:rPr>
        <w:t>元，大写：肆佰零玖万贰仟叁佰捌拾贰圆零柒分。控制价：（1）低层：单价3.3元/月·㎡*12个月*10552.24㎡*3年（不含地下室面积）；（2）高层：单价2.34元/月·㎡ *12个月*33698.67㎡*3年）；</w:t>
      </w:r>
    </w:p>
    <w:p w14:paraId="1E6CE45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3、前期地下车位服务费控制价￥人民币（小写）</w:t>
      </w:r>
      <w:r>
        <w:rPr>
          <w:rFonts w:hint="eastAsia" w:ascii="宋体" w:hAnsi="宋体"/>
          <w:color w:val="auto"/>
          <w:sz w:val="24"/>
          <w:highlight w:val="none"/>
          <w:u w:val="single"/>
        </w:rPr>
        <w:t>1194480</w:t>
      </w:r>
      <w:r>
        <w:rPr>
          <w:rFonts w:hint="eastAsia" w:ascii="宋体" w:hAnsi="宋体"/>
          <w:color w:val="auto"/>
          <w:sz w:val="24"/>
          <w:highlight w:val="none"/>
        </w:rPr>
        <w:t>元，大写：壹佰壹拾玖万肆仟肆佰捌拾圆整。（控制单价60元/月·个*12个月*产权车位数量553个*3年）。</w:t>
      </w:r>
    </w:p>
    <w:p w14:paraId="72256AD1">
      <w:pPr>
        <w:pStyle w:val="9"/>
        <w:rPr>
          <w:rFonts w:hint="default" w:eastAsia="宋体"/>
          <w:color w:val="auto"/>
          <w:highlight w:val="none"/>
          <w:lang w:val="en-US" w:eastAsia="zh-CN"/>
        </w:rPr>
      </w:pPr>
      <w:r>
        <w:rPr>
          <w:rFonts w:hint="eastAsia" w:ascii="宋体" w:hAnsi="宋体"/>
          <w:color w:val="auto"/>
          <w:sz w:val="24"/>
          <w:highlight w:val="none"/>
          <w:lang w:val="en-US" w:eastAsia="zh-CN"/>
        </w:rPr>
        <w:t xml:space="preserve">    4、物业服务等级：五级+N</w:t>
      </w:r>
    </w:p>
    <w:p w14:paraId="1398518A">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lang w:eastAsia="zh-CN"/>
        </w:rPr>
        <w:t>招标</w:t>
      </w:r>
      <w:r>
        <w:rPr>
          <w:rFonts w:hint="eastAsia" w:ascii="宋体" w:hAnsi="宋体"/>
          <w:color w:val="auto"/>
          <w:sz w:val="24"/>
          <w:highlight w:val="none"/>
        </w:rPr>
        <w:t>需求：</w:t>
      </w:r>
      <w:r>
        <w:rPr>
          <w:rFonts w:hint="eastAsia" w:ascii="宋体" w:hAnsi="宋体" w:cs="宋体"/>
          <w:bCs/>
          <w:color w:val="auto"/>
          <w:sz w:val="24"/>
          <w:szCs w:val="24"/>
          <w:highlight w:val="none"/>
        </w:rPr>
        <w:t>具体要求</w:t>
      </w:r>
      <w:r>
        <w:rPr>
          <w:rFonts w:hint="eastAsia" w:ascii="宋体" w:hAnsi="宋体"/>
          <w:color w:val="auto"/>
          <w:sz w:val="24"/>
          <w:highlight w:val="none"/>
        </w:rPr>
        <w:t>详见</w:t>
      </w:r>
      <w:r>
        <w:rPr>
          <w:rFonts w:hint="eastAsia" w:ascii="宋体" w:hAnsi="宋体"/>
          <w:color w:val="auto"/>
          <w:sz w:val="24"/>
          <w:highlight w:val="none"/>
          <w:lang w:eastAsia="zh-CN"/>
        </w:rPr>
        <w:t>招标</w:t>
      </w:r>
      <w:r>
        <w:rPr>
          <w:rFonts w:hint="eastAsia" w:ascii="宋体" w:hAnsi="宋体"/>
          <w:color w:val="auto"/>
          <w:sz w:val="24"/>
          <w:highlight w:val="none"/>
        </w:rPr>
        <w:t>文件。</w:t>
      </w:r>
    </w:p>
    <w:p w14:paraId="1AF50D9E">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合同履行期限：本项目物业服务合同期暂定3年，合同具体起止日期：自合同生效之日起至业主委员会成立、首届业主大会召开之日止。</w:t>
      </w:r>
    </w:p>
    <w:p w14:paraId="44FE857C">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本项目不接受联合体。</w:t>
      </w:r>
    </w:p>
    <w:p w14:paraId="436EBC96">
      <w:pPr>
        <w:keepNext/>
        <w:keepLines/>
        <w:spacing w:line="440" w:lineRule="exact"/>
        <w:outlineLvl w:val="1"/>
        <w:rPr>
          <w:rFonts w:ascii="宋体" w:hAnsi="宋体" w:cs="宋体"/>
          <w:b/>
          <w:bCs/>
          <w:color w:val="auto"/>
          <w:sz w:val="24"/>
          <w:highlight w:val="none"/>
        </w:rPr>
      </w:pPr>
      <w:bookmarkStart w:id="8" w:name="_Toc28359013"/>
      <w:bookmarkStart w:id="9" w:name="_Toc35393799"/>
      <w:bookmarkStart w:id="10" w:name="_Toc28359090"/>
      <w:bookmarkStart w:id="11" w:name="_Toc35393630"/>
      <w:r>
        <w:rPr>
          <w:rFonts w:hint="eastAsia" w:ascii="宋体" w:hAnsi="宋体" w:cs="宋体"/>
          <w:b/>
          <w:bCs/>
          <w:color w:val="auto"/>
          <w:sz w:val="24"/>
          <w:highlight w:val="none"/>
        </w:rPr>
        <w:t>二、</w:t>
      </w:r>
      <w:bookmarkEnd w:id="8"/>
      <w:bookmarkEnd w:id="9"/>
      <w:bookmarkEnd w:id="10"/>
      <w:bookmarkEnd w:id="11"/>
      <w:r>
        <w:rPr>
          <w:rFonts w:hint="eastAsia" w:ascii="宋体" w:hAnsi="宋体" w:cs="宋体"/>
          <w:b/>
          <w:bCs/>
          <w:color w:val="auto"/>
          <w:sz w:val="24"/>
          <w:highlight w:val="none"/>
        </w:rPr>
        <w:t>供应商的资格要求</w:t>
      </w:r>
    </w:p>
    <w:p w14:paraId="43EF2EAA">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1.满足《中华人民共和国政府采购法》第二十二条规定；</w:t>
      </w:r>
    </w:p>
    <w:p w14:paraId="3CFD95F8">
      <w:pPr>
        <w:spacing w:line="440" w:lineRule="exact"/>
        <w:ind w:firstLine="480" w:firstLineChars="200"/>
        <w:rPr>
          <w:rFonts w:ascii="宋体" w:hAnsi="宋体" w:cs="宋体"/>
          <w:bCs/>
          <w:color w:val="auto"/>
          <w:kern w:val="0"/>
          <w:sz w:val="24"/>
          <w:szCs w:val="24"/>
          <w:highlight w:val="none"/>
        </w:rPr>
      </w:pPr>
      <w:bookmarkStart w:id="12" w:name="_Toc28359091"/>
      <w:bookmarkStart w:id="13" w:name="_Toc28359014"/>
      <w:r>
        <w:rPr>
          <w:rFonts w:hint="eastAsia" w:ascii="宋体" w:hAnsi="宋体" w:cs="宋体"/>
          <w:bCs/>
          <w:color w:val="auto"/>
          <w:kern w:val="0"/>
          <w:sz w:val="24"/>
          <w:szCs w:val="24"/>
          <w:highlight w:val="none"/>
        </w:rPr>
        <w:t>2.落实政府采购政策需满足的资格要求：无。</w:t>
      </w:r>
    </w:p>
    <w:p w14:paraId="374B41FD">
      <w:pPr>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3.</w:t>
      </w:r>
      <w:r>
        <w:rPr>
          <w:rFonts w:hint="eastAsia" w:ascii="宋体" w:hAnsi="宋体" w:cs="宋体"/>
          <w:b/>
          <w:bCs/>
          <w:color w:val="auto"/>
          <w:kern w:val="0"/>
          <w:sz w:val="24"/>
          <w:szCs w:val="24"/>
          <w:highlight w:val="none"/>
        </w:rPr>
        <w:t>本项目的特定资格要求：</w:t>
      </w:r>
    </w:p>
    <w:p w14:paraId="3A13872C">
      <w:pPr>
        <w:spacing w:line="440" w:lineRule="exact"/>
        <w:ind w:firstLine="480" w:firstLineChars="200"/>
        <w:rPr>
          <w:rFonts w:hint="eastAsia" w:ascii="宋体" w:hAnsi="宋体" w:cs="宋体"/>
          <w:b w:val="0"/>
          <w:bCs w:val="0"/>
          <w:color w:val="auto"/>
          <w:sz w:val="24"/>
          <w:highlight w:val="none"/>
        </w:rPr>
      </w:pPr>
      <w:bookmarkStart w:id="14" w:name="_Toc35393631"/>
      <w:bookmarkStart w:id="15" w:name="_Toc35393800"/>
      <w:r>
        <w:rPr>
          <w:rFonts w:hint="eastAsia" w:ascii="宋体" w:hAnsi="宋体" w:cs="宋体"/>
          <w:b w:val="0"/>
          <w:bCs w:val="0"/>
          <w:color w:val="auto"/>
          <w:sz w:val="24"/>
          <w:highlight w:val="none"/>
        </w:rPr>
        <w:t>3.1具有独立法人资格，且营业执照经营范围包含与之相关内容；</w:t>
      </w:r>
    </w:p>
    <w:p w14:paraId="593A7808">
      <w:pPr>
        <w:spacing w:line="44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3.2项目负责人应具有全国物业管理从业人员经理岗位证书，3年以上的物业管理工作经历或有2年以上物业经理任职经历（须提供劳动合同，若无法提供项目负责人3年以上的物业管理作经历或有2年以上物业经理任职经历，须由投标人提供相关证明）。熟悉物业管理相关政策法规，并能规范组织住宅小区的管理服务工作，且履职期间不得兼任其他项目的项目负责人（见后附承诺书）。</w:t>
      </w:r>
    </w:p>
    <w:p w14:paraId="69799B5C">
      <w:pPr>
        <w:spacing w:line="44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3.3投标供应商自2019年1月1日以来（以发证日期为准）服务的项目获得过市级及以上物业服务优秀（示范）项目（不包含协会发布的嘉奖材料）；</w:t>
      </w:r>
    </w:p>
    <w:p w14:paraId="369AD1EC">
      <w:pPr>
        <w:spacing w:line="44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3.4投标供应商</w:t>
      </w:r>
      <w:r>
        <w:rPr>
          <w:rFonts w:hint="eastAsia" w:ascii="宋体" w:hAnsi="宋体" w:cs="宋体"/>
          <w:b w:val="0"/>
          <w:bCs w:val="0"/>
          <w:color w:val="auto"/>
          <w:sz w:val="24"/>
          <w:highlight w:val="none"/>
          <w:lang w:val="en-US" w:eastAsia="zh-CN"/>
        </w:rPr>
        <w:t>需</w:t>
      </w:r>
      <w:r>
        <w:rPr>
          <w:rFonts w:hint="eastAsia" w:ascii="宋体" w:hAnsi="宋体" w:cs="宋体"/>
          <w:b w:val="0"/>
          <w:bCs w:val="0"/>
          <w:color w:val="auto"/>
          <w:sz w:val="24"/>
          <w:highlight w:val="none"/>
        </w:rPr>
        <w:t>在</w:t>
      </w:r>
      <w:r>
        <w:rPr>
          <w:rFonts w:hint="eastAsia" w:ascii="宋体" w:hAnsi="宋体" w:cs="宋体"/>
          <w:b w:val="0"/>
          <w:bCs w:val="0"/>
          <w:color w:val="auto"/>
          <w:sz w:val="24"/>
          <w:highlight w:val="none"/>
          <w:lang w:val="en-US" w:eastAsia="zh-CN"/>
        </w:rPr>
        <w:t>投标截止时间前至</w:t>
      </w:r>
      <w:r>
        <w:rPr>
          <w:rFonts w:hint="eastAsia" w:ascii="宋体" w:hAnsi="宋体" w:cs="宋体"/>
          <w:b w:val="0"/>
          <w:bCs w:val="0"/>
          <w:color w:val="auto"/>
          <w:sz w:val="24"/>
          <w:highlight w:val="none"/>
        </w:rPr>
        <w:t>如东县物业管理科办理《如东县物业管理项目招标备案通知》（原件放入资格审查文件正本中，副本可放复印件）。</w:t>
      </w:r>
    </w:p>
    <w:p w14:paraId="2D15AF64">
      <w:pPr>
        <w:spacing w:line="44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注：中标单位在中标公示期间内向如东县物业管理科提供现有在管项目所属街道出具的《履约信用证明》：</w:t>
      </w:r>
    </w:p>
    <w:p w14:paraId="0A929169">
      <w:pPr>
        <w:spacing w:line="44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（1）须经街道主要领导签字并加盖公章，且结果评定为“满意”。</w:t>
      </w:r>
    </w:p>
    <w:p w14:paraId="1384DB38">
      <w:pPr>
        <w:spacing w:line="44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（2）在如东有在管项目，需提供全部项目的《履约信用证明》。</w:t>
      </w:r>
    </w:p>
    <w:p w14:paraId="451B796B">
      <w:pPr>
        <w:spacing w:line="44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（3）在如东没有在管项目的，需提供项目所在地街道出具的《履约信用证明》。（超过10个项目的，提供10个即可）。</w:t>
      </w:r>
    </w:p>
    <w:p w14:paraId="73B79868">
      <w:pPr>
        <w:spacing w:line="44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不提供或提供不全的</w:t>
      </w:r>
      <w:r>
        <w:rPr>
          <w:rFonts w:hint="eastAsia" w:ascii="宋体" w:hAnsi="宋体" w:cs="宋体"/>
          <w:b w:val="0"/>
          <w:bCs w:val="0"/>
          <w:color w:val="auto"/>
          <w:sz w:val="24"/>
          <w:highlight w:val="none"/>
          <w:lang w:val="en-US" w:eastAsia="zh-CN"/>
        </w:rPr>
        <w:t>招标</w:t>
      </w:r>
      <w:r>
        <w:rPr>
          <w:rFonts w:hint="eastAsia" w:ascii="宋体" w:hAnsi="宋体" w:cs="宋体"/>
          <w:b w:val="0"/>
          <w:bCs w:val="0"/>
          <w:color w:val="auto"/>
          <w:sz w:val="24"/>
          <w:highlight w:val="none"/>
        </w:rPr>
        <w:t>人有权根据如东县物业管理科的审核意见取消其中标资格。</w:t>
      </w:r>
    </w:p>
    <w:p w14:paraId="2EC1FEAB">
      <w:pPr>
        <w:spacing w:line="440" w:lineRule="exact"/>
        <w:ind w:firstLine="480" w:firstLineChars="200"/>
        <w:rPr>
          <w:rFonts w:ascii="宋体" w:hAnsi="宋体" w:cs="宋体"/>
          <w:b w:val="0"/>
          <w:bCs w:val="0"/>
          <w:color w:val="auto"/>
          <w:sz w:val="24"/>
          <w:highlight w:val="none"/>
        </w:rPr>
      </w:pPr>
      <w:r>
        <w:rPr>
          <w:rFonts w:hint="eastAsia" w:ascii="宋体" w:hAnsi="宋体" w:cs="宋体"/>
          <w:b w:val="0"/>
          <w:bCs w:val="0"/>
          <w:color w:val="auto"/>
          <w:sz w:val="24"/>
          <w:highlight w:val="none"/>
        </w:rPr>
        <w:t>三、获取文件</w:t>
      </w:r>
      <w:bookmarkEnd w:id="12"/>
      <w:bookmarkEnd w:id="13"/>
      <w:bookmarkEnd w:id="14"/>
      <w:bookmarkEnd w:id="15"/>
    </w:p>
    <w:p w14:paraId="1CA9DAC4">
      <w:pPr>
        <w:spacing w:line="440" w:lineRule="exact"/>
        <w:ind w:firstLine="540"/>
        <w:rPr>
          <w:rFonts w:ascii="宋体" w:hAnsi="宋体" w:cs="宋体"/>
          <w:color w:val="auto"/>
          <w:sz w:val="24"/>
          <w:highlight w:val="none"/>
        </w:rPr>
      </w:pPr>
      <w:r>
        <w:rPr>
          <w:rFonts w:hint="eastAsia" w:ascii="宋体" w:hAnsi="宋体" w:cs="宋体"/>
          <w:color w:val="auto"/>
          <w:sz w:val="24"/>
          <w:highlight w:val="none"/>
        </w:rPr>
        <w:t>时间：公告之日起至2024年</w:t>
      </w:r>
      <w:r>
        <w:rPr>
          <w:rFonts w:hint="eastAsia" w:ascii="宋体" w:hAnsi="宋体"/>
          <w:color w:val="auto"/>
          <w:sz w:val="24"/>
          <w:highlight w:val="none"/>
          <w:lang w:val="en-US" w:eastAsia="zh-CN"/>
        </w:rPr>
        <w:t>11</w:t>
      </w:r>
      <w:r>
        <w:rPr>
          <w:rFonts w:hint="eastAsia" w:ascii="宋体" w:hAnsi="宋体"/>
          <w:color w:val="auto"/>
          <w:sz w:val="24"/>
          <w:highlight w:val="none"/>
        </w:rPr>
        <w:t>月</w:t>
      </w:r>
      <w:r>
        <w:rPr>
          <w:rFonts w:hint="eastAsia" w:ascii="宋体" w:hAnsi="宋体"/>
          <w:color w:val="auto"/>
          <w:sz w:val="24"/>
          <w:highlight w:val="none"/>
          <w:lang w:val="en-US" w:eastAsia="zh-CN"/>
        </w:rPr>
        <w:t>22</w:t>
      </w:r>
      <w:r>
        <w:rPr>
          <w:rFonts w:hint="eastAsia" w:ascii="宋体" w:hAnsi="宋体"/>
          <w:color w:val="auto"/>
          <w:sz w:val="24"/>
          <w:highlight w:val="none"/>
        </w:rPr>
        <w:t>日</w:t>
      </w:r>
    </w:p>
    <w:p w14:paraId="0501916C">
      <w:pPr>
        <w:spacing w:line="440" w:lineRule="exact"/>
        <w:ind w:firstLine="540"/>
        <w:rPr>
          <w:rFonts w:ascii="宋体" w:hAnsi="宋体" w:cs="宋体"/>
          <w:color w:val="auto"/>
          <w:sz w:val="24"/>
          <w:highlight w:val="none"/>
        </w:rPr>
      </w:pPr>
      <w:r>
        <w:rPr>
          <w:rFonts w:hint="eastAsia" w:ascii="宋体" w:hAnsi="宋体" w:cs="宋体"/>
          <w:color w:val="auto"/>
          <w:sz w:val="24"/>
          <w:highlight w:val="none"/>
        </w:rPr>
        <w:t>地点：</w:t>
      </w:r>
      <w:r>
        <w:rPr>
          <w:rFonts w:hint="eastAsia" w:ascii="宋体" w:hAnsi="宋体" w:cs="宋体"/>
          <w:color w:val="auto"/>
          <w:kern w:val="0"/>
          <w:sz w:val="24"/>
          <w:szCs w:val="24"/>
          <w:highlight w:val="none"/>
        </w:rPr>
        <w:t>东和集团国有企业平台</w:t>
      </w:r>
      <w:r>
        <w:rPr>
          <w:rFonts w:hint="eastAsia" w:ascii="宋体" w:hAnsi="宋体" w:cs="宋体"/>
          <w:color w:val="auto"/>
          <w:sz w:val="24"/>
          <w:highlight w:val="none"/>
        </w:rPr>
        <w:t>（网址详见附件）</w:t>
      </w:r>
    </w:p>
    <w:p w14:paraId="0398F15B">
      <w:pPr>
        <w:spacing w:line="440" w:lineRule="exact"/>
        <w:ind w:firstLine="480" w:firstLineChars="200"/>
        <w:rPr>
          <w:rFonts w:hint="eastAsia" w:ascii="宋体" w:hAnsi="宋体" w:eastAsia="宋体" w:cs="宋体"/>
          <w:bCs/>
          <w:color w:val="auto"/>
          <w:kern w:val="0"/>
          <w:sz w:val="24"/>
          <w:szCs w:val="24"/>
          <w:highlight w:val="none"/>
          <w:lang w:val="en-US" w:eastAsia="zh-CN"/>
        </w:rPr>
      </w:pPr>
      <w:bookmarkStart w:id="16" w:name="_Toc28359015"/>
      <w:bookmarkStart w:id="17" w:name="_Toc28359092"/>
      <w:bookmarkStart w:id="18" w:name="_Toc35393632"/>
      <w:bookmarkStart w:id="19" w:name="_Toc35393801"/>
      <w:r>
        <w:rPr>
          <w:rFonts w:hint="eastAsia" w:ascii="宋体" w:hAnsi="宋体"/>
          <w:color w:val="auto"/>
          <w:sz w:val="24"/>
          <w:highlight w:val="none"/>
        </w:rPr>
        <w:t>方式：凡有意参与投标的供应商须登录</w:t>
      </w:r>
      <w:r>
        <w:rPr>
          <w:rFonts w:hint="eastAsia" w:ascii="宋体" w:hAnsi="宋体" w:cs="宋体"/>
          <w:color w:val="auto"/>
          <w:kern w:val="0"/>
          <w:sz w:val="24"/>
          <w:szCs w:val="24"/>
          <w:highlight w:val="none"/>
        </w:rPr>
        <w:t>如东县限额交易网→项目投标方→东和集团国有企业平台</w:t>
      </w:r>
      <w:r>
        <w:rPr>
          <w:rFonts w:hint="eastAsia" w:ascii="宋体" w:hAnsi="宋体" w:cs="宋体"/>
          <w:bCs/>
          <w:color w:val="auto"/>
          <w:kern w:val="0"/>
          <w:sz w:val="24"/>
          <w:szCs w:val="24"/>
          <w:highlight w:val="none"/>
        </w:rPr>
        <w:t>自行下载</w:t>
      </w:r>
      <w:r>
        <w:rPr>
          <w:rFonts w:hint="eastAsia" w:ascii="宋体" w:hAnsi="宋体" w:cs="宋体"/>
          <w:bCs/>
          <w:color w:val="auto"/>
          <w:kern w:val="0"/>
          <w:sz w:val="24"/>
          <w:szCs w:val="24"/>
          <w:highlight w:val="none"/>
          <w:lang w:val="en-US" w:eastAsia="zh-CN"/>
        </w:rPr>
        <w:t>招标</w:t>
      </w:r>
      <w:r>
        <w:rPr>
          <w:rFonts w:hint="eastAsia" w:ascii="宋体" w:hAnsi="宋体" w:cs="宋体"/>
          <w:bCs/>
          <w:color w:val="auto"/>
          <w:kern w:val="0"/>
          <w:sz w:val="24"/>
          <w:szCs w:val="24"/>
          <w:highlight w:val="none"/>
        </w:rPr>
        <w:t>文件（网址http://rudong.net/web/index）。</w:t>
      </w:r>
      <w:r>
        <w:rPr>
          <w:rFonts w:hint="eastAsia" w:ascii="宋体" w:hAnsi="宋体" w:cs="宋体"/>
          <w:bCs/>
          <w:color w:val="auto"/>
          <w:kern w:val="0"/>
          <w:sz w:val="24"/>
          <w:szCs w:val="24"/>
          <w:highlight w:val="none"/>
          <w:lang w:val="en-US" w:eastAsia="zh-CN"/>
        </w:rPr>
        <w:t xml:space="preserve"> </w:t>
      </w:r>
    </w:p>
    <w:p w14:paraId="67C5D658">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四、响应文件提交</w:t>
      </w:r>
      <w:bookmarkEnd w:id="16"/>
      <w:bookmarkEnd w:id="17"/>
      <w:bookmarkEnd w:id="18"/>
      <w:bookmarkEnd w:id="19"/>
    </w:p>
    <w:p w14:paraId="22E1BEA7">
      <w:pPr>
        <w:spacing w:line="440" w:lineRule="exact"/>
        <w:ind w:firstLine="480" w:firstLineChars="200"/>
        <w:rPr>
          <w:rFonts w:ascii="宋体" w:hAnsi="宋体"/>
          <w:bCs/>
          <w:color w:val="auto"/>
          <w:sz w:val="24"/>
          <w:highlight w:val="none"/>
        </w:rPr>
      </w:pPr>
      <w:r>
        <w:rPr>
          <w:rFonts w:hint="eastAsia" w:ascii="宋体" w:hAnsi="宋体"/>
          <w:color w:val="auto"/>
          <w:sz w:val="24"/>
          <w:highlight w:val="none"/>
        </w:rPr>
        <w:t>截止时间：</w:t>
      </w:r>
      <w:r>
        <w:rPr>
          <w:rFonts w:hint="eastAsia" w:ascii="宋体" w:hAnsi="宋体"/>
          <w:color w:val="auto"/>
          <w:sz w:val="24"/>
          <w:highlight w:val="none"/>
          <w:u w:val="single"/>
        </w:rPr>
        <w:t>2024年</w:t>
      </w:r>
      <w:r>
        <w:rPr>
          <w:rFonts w:hint="eastAsia" w:ascii="宋体" w:hAnsi="宋体"/>
          <w:color w:val="auto"/>
          <w:sz w:val="24"/>
          <w:highlight w:val="none"/>
          <w:u w:val="single"/>
          <w:lang w:val="en-US" w:eastAsia="zh-CN"/>
        </w:rPr>
        <w:t>11</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22</w:t>
      </w:r>
      <w:r>
        <w:rPr>
          <w:rFonts w:hint="eastAsia" w:ascii="宋体" w:hAnsi="宋体"/>
          <w:color w:val="auto"/>
          <w:sz w:val="24"/>
          <w:highlight w:val="none"/>
          <w:u w:val="single"/>
        </w:rPr>
        <w:t>日</w:t>
      </w:r>
      <w:r>
        <w:rPr>
          <w:rFonts w:hint="eastAsia" w:ascii="宋体" w:hAnsi="宋体"/>
          <w:color w:val="auto"/>
          <w:sz w:val="24"/>
          <w:highlight w:val="none"/>
          <w:u w:val="single"/>
          <w:lang w:val="en-US" w:eastAsia="zh-CN"/>
        </w:rPr>
        <w:t>上午</w:t>
      </w:r>
      <w:r>
        <w:rPr>
          <w:rFonts w:hint="eastAsia" w:ascii="宋体" w:hAnsi="宋体"/>
          <w:color w:val="auto"/>
          <w:sz w:val="24"/>
          <w:highlight w:val="none"/>
          <w:u w:val="single"/>
        </w:rPr>
        <w:t>9时</w:t>
      </w:r>
      <w:r>
        <w:rPr>
          <w:rFonts w:hint="eastAsia" w:ascii="宋体" w:hAnsi="宋体"/>
          <w:bCs/>
          <w:color w:val="auto"/>
          <w:sz w:val="24"/>
          <w:highlight w:val="none"/>
        </w:rPr>
        <w:t>（北京时间）</w:t>
      </w:r>
    </w:p>
    <w:p w14:paraId="51B9EF07">
      <w:pPr>
        <w:spacing w:line="50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地点：</w:t>
      </w:r>
      <w:bookmarkStart w:id="20" w:name="_Toc28359093"/>
      <w:bookmarkStart w:id="21" w:name="_Toc35393802"/>
      <w:bookmarkStart w:id="22" w:name="_Toc28359016"/>
      <w:bookmarkStart w:id="23" w:name="_Toc35393633"/>
      <w:r>
        <w:rPr>
          <w:rFonts w:hint="eastAsia" w:ascii="宋体" w:hAnsi="宋体"/>
          <w:color w:val="auto"/>
          <w:sz w:val="24"/>
          <w:highlight w:val="none"/>
        </w:rPr>
        <w:t>江苏东和集团投资有限公司附属楼3号楼1层开标室（通海路3号）</w:t>
      </w:r>
      <w:r>
        <w:rPr>
          <w:rFonts w:hint="eastAsia" w:ascii="宋体" w:hAnsi="宋体"/>
          <w:color w:val="auto"/>
          <w:sz w:val="24"/>
          <w:highlight w:val="none"/>
          <w:lang w:eastAsia="zh-CN"/>
        </w:rPr>
        <w:t>。</w:t>
      </w:r>
    </w:p>
    <w:p w14:paraId="75CD7728">
      <w:pPr>
        <w:keepNext/>
        <w:keepLines/>
        <w:spacing w:line="440" w:lineRule="exact"/>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五、开启</w:t>
      </w:r>
      <w:bookmarkEnd w:id="20"/>
      <w:bookmarkEnd w:id="21"/>
      <w:bookmarkEnd w:id="22"/>
      <w:bookmarkEnd w:id="23"/>
    </w:p>
    <w:p w14:paraId="183921F7">
      <w:pPr>
        <w:spacing w:line="440" w:lineRule="exact"/>
        <w:ind w:firstLine="480" w:firstLineChars="200"/>
        <w:rPr>
          <w:rFonts w:ascii="宋体" w:hAnsi="宋体"/>
          <w:bCs/>
          <w:color w:val="auto"/>
          <w:sz w:val="24"/>
          <w:highlight w:val="none"/>
          <w:u w:val="single"/>
        </w:rPr>
      </w:pPr>
      <w:r>
        <w:rPr>
          <w:rFonts w:hint="eastAsia" w:ascii="宋体" w:hAnsi="宋体"/>
          <w:color w:val="auto"/>
          <w:sz w:val="24"/>
          <w:highlight w:val="none"/>
        </w:rPr>
        <w:t>时间：</w:t>
      </w:r>
      <w:r>
        <w:rPr>
          <w:rFonts w:hint="eastAsia" w:ascii="宋体" w:hAnsi="宋体"/>
          <w:color w:val="auto"/>
          <w:sz w:val="24"/>
          <w:highlight w:val="none"/>
          <w:u w:val="single"/>
        </w:rPr>
        <w:t>2024年</w:t>
      </w:r>
      <w:r>
        <w:rPr>
          <w:rFonts w:hint="eastAsia" w:ascii="宋体" w:hAnsi="宋体"/>
          <w:color w:val="auto"/>
          <w:sz w:val="24"/>
          <w:highlight w:val="none"/>
          <w:u w:val="single"/>
          <w:lang w:val="en-US" w:eastAsia="zh-CN"/>
        </w:rPr>
        <w:t>11</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22</w:t>
      </w:r>
      <w:r>
        <w:rPr>
          <w:rFonts w:hint="eastAsia" w:ascii="宋体" w:hAnsi="宋体"/>
          <w:color w:val="auto"/>
          <w:sz w:val="24"/>
          <w:highlight w:val="none"/>
          <w:u w:val="single"/>
        </w:rPr>
        <w:t>日</w:t>
      </w:r>
      <w:r>
        <w:rPr>
          <w:rFonts w:hint="eastAsia" w:ascii="宋体" w:hAnsi="宋体"/>
          <w:color w:val="auto"/>
          <w:sz w:val="24"/>
          <w:highlight w:val="none"/>
          <w:u w:val="single"/>
          <w:lang w:val="en-US" w:eastAsia="zh-CN"/>
        </w:rPr>
        <w:t>上午</w:t>
      </w:r>
      <w:r>
        <w:rPr>
          <w:rFonts w:hint="eastAsia" w:ascii="宋体" w:hAnsi="宋体"/>
          <w:color w:val="auto"/>
          <w:sz w:val="24"/>
          <w:highlight w:val="none"/>
          <w:u w:val="single"/>
        </w:rPr>
        <w:t>9时</w:t>
      </w:r>
      <w:r>
        <w:rPr>
          <w:rFonts w:hint="eastAsia" w:ascii="宋体" w:hAnsi="宋体"/>
          <w:bCs/>
          <w:color w:val="auto"/>
          <w:sz w:val="24"/>
          <w:highlight w:val="none"/>
        </w:rPr>
        <w:t>（北京时间）</w:t>
      </w:r>
    </w:p>
    <w:p w14:paraId="11399DBD">
      <w:pPr>
        <w:spacing w:line="500" w:lineRule="exact"/>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地点：</w:t>
      </w:r>
      <w:r>
        <w:rPr>
          <w:rFonts w:hint="eastAsia" w:ascii="宋体" w:hAnsi="宋体"/>
          <w:color w:val="auto"/>
          <w:sz w:val="24"/>
          <w:highlight w:val="none"/>
        </w:rPr>
        <w:t>江苏东和集团投资有限公司附属楼3号楼1层开标室（通海路3号）</w:t>
      </w:r>
      <w:r>
        <w:rPr>
          <w:rFonts w:hint="eastAsia" w:ascii="宋体" w:hAnsi="宋体"/>
          <w:color w:val="auto"/>
          <w:sz w:val="24"/>
          <w:highlight w:val="none"/>
          <w:lang w:eastAsia="zh-CN"/>
        </w:rPr>
        <w:t>。</w:t>
      </w:r>
    </w:p>
    <w:p w14:paraId="6C47FB97">
      <w:pPr>
        <w:pageBreakBefore w:val="0"/>
        <w:kinsoku/>
        <w:wordWrap/>
        <w:overflowPunct/>
        <w:topLinePunct w:val="0"/>
        <w:autoSpaceDE/>
        <w:autoSpaceDN/>
        <w:bidi w:val="0"/>
        <w:spacing w:line="440" w:lineRule="exact"/>
        <w:ind w:firstLine="510" w:firstLineChars="200"/>
        <w:textAlignment w:val="auto"/>
        <w:rPr>
          <w:rFonts w:ascii="宋体" w:hAnsi="宋体" w:cs="宋体"/>
          <w:b/>
          <w:bCs/>
          <w:color w:val="auto"/>
          <w:spacing w:val="7"/>
          <w:kern w:val="0"/>
          <w:sz w:val="24"/>
          <w:szCs w:val="24"/>
          <w:highlight w:val="none"/>
          <w:shd w:val="clear" w:color="auto" w:fill="FFFFFF"/>
        </w:rPr>
      </w:pPr>
    </w:p>
    <w:p w14:paraId="2C221087">
      <w:pPr>
        <w:keepNext/>
        <w:keepLines/>
        <w:pageBreakBefore w:val="0"/>
        <w:kinsoku/>
        <w:wordWrap/>
        <w:overflowPunct/>
        <w:topLinePunct w:val="0"/>
        <w:autoSpaceDE/>
        <w:autoSpaceDN/>
        <w:bidi w:val="0"/>
        <w:spacing w:line="440" w:lineRule="exact"/>
        <w:textAlignment w:val="auto"/>
        <w:outlineLvl w:val="1"/>
        <w:rPr>
          <w:rFonts w:ascii="宋体" w:hAnsi="宋体" w:cs="宋体"/>
          <w:b/>
          <w:bCs/>
          <w:color w:val="auto"/>
          <w:sz w:val="24"/>
          <w:highlight w:val="none"/>
        </w:rPr>
      </w:pPr>
      <w:bookmarkStart w:id="24" w:name="_Toc28359094"/>
      <w:bookmarkStart w:id="25" w:name="_Toc28359017"/>
      <w:bookmarkStart w:id="26" w:name="_Toc35393634"/>
      <w:bookmarkStart w:id="27" w:name="_Toc35393803"/>
      <w:r>
        <w:rPr>
          <w:rFonts w:hint="eastAsia" w:ascii="宋体" w:hAnsi="宋体" w:cs="宋体"/>
          <w:b/>
          <w:bCs/>
          <w:color w:val="auto"/>
          <w:sz w:val="24"/>
          <w:highlight w:val="none"/>
        </w:rPr>
        <w:t>六、公告期限</w:t>
      </w:r>
      <w:bookmarkEnd w:id="24"/>
      <w:bookmarkEnd w:id="25"/>
      <w:bookmarkEnd w:id="26"/>
      <w:bookmarkEnd w:id="27"/>
    </w:p>
    <w:p w14:paraId="27114387">
      <w:pPr>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自本公告发布之日</w:t>
      </w:r>
      <w:r>
        <w:rPr>
          <w:rFonts w:hint="eastAsia" w:ascii="宋体" w:hAnsi="宋体" w:cs="宋体"/>
          <w:color w:val="auto"/>
          <w:kern w:val="0"/>
          <w:sz w:val="24"/>
          <w:highlight w:val="none"/>
          <w:lang w:val="en-US" w:eastAsia="zh-CN"/>
        </w:rPr>
        <w:t>起至2024年11月22日</w:t>
      </w:r>
      <w:r>
        <w:rPr>
          <w:rFonts w:hint="eastAsia" w:ascii="宋体" w:hAnsi="宋体" w:cs="宋体"/>
          <w:color w:val="auto"/>
          <w:kern w:val="0"/>
          <w:sz w:val="24"/>
          <w:highlight w:val="none"/>
        </w:rPr>
        <w:t>。</w:t>
      </w:r>
    </w:p>
    <w:p w14:paraId="3A20221D">
      <w:pPr>
        <w:keepNext/>
        <w:keepLines/>
        <w:pageBreakBefore w:val="0"/>
        <w:kinsoku/>
        <w:wordWrap/>
        <w:overflowPunct/>
        <w:topLinePunct w:val="0"/>
        <w:autoSpaceDE/>
        <w:autoSpaceDN/>
        <w:bidi w:val="0"/>
        <w:spacing w:line="440" w:lineRule="exact"/>
        <w:textAlignment w:val="auto"/>
        <w:outlineLvl w:val="1"/>
        <w:rPr>
          <w:rFonts w:ascii="宋体" w:hAnsi="宋体" w:cs="宋体"/>
          <w:b/>
          <w:bCs/>
          <w:color w:val="auto"/>
          <w:sz w:val="24"/>
          <w:highlight w:val="none"/>
        </w:rPr>
      </w:pPr>
      <w:bookmarkStart w:id="28" w:name="_Toc35393635"/>
      <w:bookmarkStart w:id="29" w:name="_Toc35393804"/>
      <w:r>
        <w:rPr>
          <w:rFonts w:hint="eastAsia" w:ascii="宋体" w:hAnsi="宋体" w:cs="宋体"/>
          <w:b/>
          <w:bCs/>
          <w:color w:val="auto"/>
          <w:sz w:val="24"/>
          <w:highlight w:val="none"/>
        </w:rPr>
        <w:t>七、其他补充事宜</w:t>
      </w:r>
      <w:bookmarkEnd w:id="28"/>
      <w:bookmarkEnd w:id="29"/>
      <w:bookmarkStart w:id="40" w:name="_GoBack"/>
      <w:bookmarkEnd w:id="40"/>
    </w:p>
    <w:p w14:paraId="0480849E">
      <w:pPr>
        <w:pageBreakBefore w:val="0"/>
        <w:kinsoku/>
        <w:wordWrap/>
        <w:overflowPunct/>
        <w:topLinePunct w:val="0"/>
        <w:autoSpaceDE/>
        <w:autoSpaceDN/>
        <w:bidi w:val="0"/>
        <w:adjustRightInd w:val="0"/>
        <w:snapToGrid w:val="0"/>
        <w:spacing w:line="440" w:lineRule="exact"/>
        <w:ind w:firstLine="480" w:firstLineChars="200"/>
        <w:textAlignment w:val="auto"/>
        <w:rPr>
          <w:rFonts w:ascii="宋体" w:hAnsi="宋体"/>
          <w:color w:val="auto"/>
          <w:sz w:val="24"/>
          <w:szCs w:val="24"/>
          <w:highlight w:val="none"/>
        </w:rPr>
      </w:pPr>
      <w:bookmarkStart w:id="30" w:name="_Toc35393636"/>
      <w:bookmarkStart w:id="31" w:name="_Toc28359018"/>
      <w:bookmarkStart w:id="32" w:name="_Toc28359095"/>
      <w:bookmarkStart w:id="33" w:name="_Toc35393805"/>
      <w:r>
        <w:rPr>
          <w:rFonts w:hint="eastAsia" w:ascii="宋体" w:hAnsi="宋体" w:cs="宋体"/>
          <w:color w:val="auto"/>
          <w:sz w:val="24"/>
          <w:highlight w:val="none"/>
        </w:rPr>
        <w:t>1.投标保证金：</w:t>
      </w:r>
      <w:r>
        <w:rPr>
          <w:rFonts w:hint="eastAsia" w:ascii="宋体" w:hAnsi="宋体"/>
          <w:color w:val="auto"/>
          <w:sz w:val="24"/>
          <w:szCs w:val="24"/>
          <w:highlight w:val="none"/>
        </w:rPr>
        <w:t>本项目不收投标保证金，</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文件中涉及投标保证金的事项，均按免收投标保证金执行。</w:t>
      </w:r>
    </w:p>
    <w:p w14:paraId="45E3EE23">
      <w:pPr>
        <w:pageBreakBefore w:val="0"/>
        <w:kinsoku/>
        <w:wordWrap/>
        <w:overflowPunct/>
        <w:topLinePunct w:val="0"/>
        <w:autoSpaceDE/>
        <w:autoSpaceDN/>
        <w:bidi w:val="0"/>
        <w:spacing w:line="440" w:lineRule="exact"/>
        <w:ind w:firstLine="480" w:firstLineChars="200"/>
        <w:textAlignment w:val="auto"/>
        <w:rPr>
          <w:rFonts w:hint="default" w:ascii="宋体" w:hAnsi="宋体" w:eastAsia="宋体" w:cs="宋体"/>
          <w:color w:val="auto"/>
          <w:kern w:val="1"/>
          <w:sz w:val="24"/>
          <w:szCs w:val="24"/>
          <w:highlight w:val="none"/>
          <w:lang w:val="en-US" w:eastAsia="zh-CN"/>
        </w:rPr>
      </w:pPr>
      <w:r>
        <w:rPr>
          <w:rFonts w:hint="eastAsia" w:ascii="宋体" w:hAnsi="宋体" w:cs="宋体"/>
          <w:color w:val="auto"/>
          <w:kern w:val="1"/>
          <w:sz w:val="24"/>
          <w:szCs w:val="24"/>
          <w:highlight w:val="none"/>
        </w:rPr>
        <w:t>2.项目开标活动模式：</w:t>
      </w:r>
      <w:r>
        <w:rPr>
          <w:rFonts w:hint="eastAsia" w:ascii="宋体" w:hAnsi="宋体" w:cs="宋体"/>
          <w:color w:val="auto"/>
          <w:kern w:val="1"/>
          <w:sz w:val="24"/>
          <w:szCs w:val="24"/>
          <w:highlight w:val="none"/>
          <w:lang w:val="en-US" w:eastAsia="zh-CN"/>
        </w:rPr>
        <w:t>本项目为纸质投标，各投标供应商需抵达开标现场。</w:t>
      </w:r>
    </w:p>
    <w:p w14:paraId="449B2B04">
      <w:pPr>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1"/>
          <w:sz w:val="24"/>
          <w:szCs w:val="24"/>
          <w:highlight w:val="none"/>
        </w:rPr>
      </w:pPr>
      <w:r>
        <w:rPr>
          <w:rFonts w:hint="eastAsia" w:ascii="宋体" w:hAnsi="宋体" w:cs="宋体"/>
          <w:color w:val="auto"/>
          <w:kern w:val="1"/>
          <w:sz w:val="24"/>
          <w:szCs w:val="24"/>
          <w:highlight w:val="none"/>
        </w:rPr>
        <w:t>3.项目演示、样品、答辩等（如有请描述）：无。</w:t>
      </w:r>
    </w:p>
    <w:p w14:paraId="67ED15A6">
      <w:pPr>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1"/>
          <w:sz w:val="24"/>
          <w:szCs w:val="24"/>
          <w:highlight w:val="none"/>
        </w:rPr>
      </w:pPr>
      <w:r>
        <w:rPr>
          <w:rFonts w:hint="eastAsia" w:ascii="宋体" w:hAnsi="宋体" w:cs="宋体"/>
          <w:color w:val="auto"/>
          <w:kern w:val="1"/>
          <w:sz w:val="24"/>
          <w:szCs w:val="24"/>
          <w:highlight w:val="none"/>
        </w:rPr>
        <w:t>4.对项目需求部分（供应商资格要求、项目需求、商务技术评分标准）的询问、质疑请向</w:t>
      </w:r>
      <w:r>
        <w:rPr>
          <w:rFonts w:hint="eastAsia" w:ascii="宋体" w:hAnsi="宋体" w:cs="宋体"/>
          <w:color w:val="auto"/>
          <w:kern w:val="1"/>
          <w:sz w:val="24"/>
          <w:szCs w:val="24"/>
          <w:highlight w:val="none"/>
          <w:lang w:val="en-US" w:eastAsia="zh-CN"/>
        </w:rPr>
        <w:t>招标</w:t>
      </w:r>
      <w:r>
        <w:rPr>
          <w:rFonts w:hint="eastAsia" w:ascii="宋体" w:hAnsi="宋体" w:cs="宋体"/>
          <w:color w:val="auto"/>
          <w:kern w:val="1"/>
          <w:sz w:val="24"/>
          <w:szCs w:val="24"/>
          <w:highlight w:val="none"/>
        </w:rPr>
        <w:t>人提出，由</w:t>
      </w:r>
      <w:r>
        <w:rPr>
          <w:rFonts w:hint="eastAsia" w:ascii="宋体" w:hAnsi="宋体" w:cs="宋体"/>
          <w:color w:val="auto"/>
          <w:kern w:val="1"/>
          <w:sz w:val="24"/>
          <w:szCs w:val="24"/>
          <w:highlight w:val="none"/>
          <w:lang w:val="en-US" w:eastAsia="zh-CN"/>
        </w:rPr>
        <w:t>招标</w:t>
      </w:r>
      <w:r>
        <w:rPr>
          <w:rFonts w:hint="eastAsia" w:ascii="宋体" w:hAnsi="宋体" w:cs="宋体"/>
          <w:color w:val="auto"/>
          <w:kern w:val="1"/>
          <w:sz w:val="24"/>
          <w:szCs w:val="24"/>
          <w:highlight w:val="none"/>
        </w:rPr>
        <w:t>人负责答复；对项目</w:t>
      </w:r>
      <w:r>
        <w:rPr>
          <w:rFonts w:hint="eastAsia" w:ascii="宋体" w:hAnsi="宋体" w:cs="宋体"/>
          <w:color w:val="auto"/>
          <w:kern w:val="1"/>
          <w:sz w:val="24"/>
          <w:szCs w:val="24"/>
          <w:highlight w:val="none"/>
          <w:lang w:val="en-US" w:eastAsia="zh-CN"/>
        </w:rPr>
        <w:t>招标</w:t>
      </w:r>
      <w:r>
        <w:rPr>
          <w:rFonts w:hint="eastAsia" w:ascii="宋体" w:hAnsi="宋体" w:cs="宋体"/>
          <w:color w:val="auto"/>
          <w:kern w:val="1"/>
          <w:sz w:val="24"/>
          <w:szCs w:val="24"/>
          <w:highlight w:val="none"/>
        </w:rPr>
        <w:t>文件其它部分的询问请向</w:t>
      </w:r>
      <w:r>
        <w:rPr>
          <w:rFonts w:hint="eastAsia" w:ascii="宋体" w:hAnsi="宋体" w:cs="宋体"/>
          <w:color w:val="auto"/>
          <w:kern w:val="1"/>
          <w:sz w:val="24"/>
          <w:szCs w:val="24"/>
          <w:highlight w:val="none"/>
          <w:lang w:val="en-US" w:eastAsia="zh-CN"/>
        </w:rPr>
        <w:t>招标</w:t>
      </w:r>
      <w:r>
        <w:rPr>
          <w:rFonts w:hint="eastAsia" w:ascii="宋体" w:hAnsi="宋体" w:cs="宋体"/>
          <w:color w:val="auto"/>
          <w:kern w:val="1"/>
          <w:sz w:val="24"/>
          <w:szCs w:val="24"/>
          <w:highlight w:val="none"/>
        </w:rPr>
        <w:t>文件制作人或项目开标评标经办人提出；对在“如东县限额交易网”操作阶段的询问请向交易系统软件维护人员提出，联系方式：刘工，18036200288。</w:t>
      </w:r>
    </w:p>
    <w:p w14:paraId="5DB23457">
      <w:pPr>
        <w:pageBreakBefore w:val="0"/>
        <w:kinsoku/>
        <w:wordWrap/>
        <w:overflowPunct/>
        <w:topLinePunct w:val="0"/>
        <w:autoSpaceDE/>
        <w:autoSpaceDN/>
        <w:bidi w:val="0"/>
        <w:spacing w:line="440" w:lineRule="exact"/>
        <w:ind w:firstLine="480" w:firstLineChars="200"/>
        <w:textAlignment w:val="auto"/>
        <w:rPr>
          <w:rFonts w:ascii="宋体" w:hAnsi="宋体" w:cs="宋体"/>
          <w:color w:val="auto"/>
          <w:kern w:val="1"/>
          <w:sz w:val="24"/>
          <w:szCs w:val="24"/>
          <w:highlight w:val="none"/>
        </w:rPr>
      </w:pPr>
      <w:r>
        <w:rPr>
          <w:rFonts w:hint="eastAsia" w:ascii="宋体" w:hAnsi="宋体" w:cs="宋体"/>
          <w:color w:val="auto"/>
          <w:kern w:val="1"/>
          <w:sz w:val="24"/>
          <w:szCs w:val="24"/>
          <w:highlight w:val="none"/>
        </w:rPr>
        <w:t>5.供应商应依照规定提交各类声明函、承诺函，不再同时提供原件备查或提供有关部门出具的相关证明文件。但中标供应商应做好提交声明函、承诺函相应原件的核查准备；核查后发现虚假或违背承诺的，依照相关法律法规规定处理。</w:t>
      </w:r>
    </w:p>
    <w:p w14:paraId="00CC8FA2">
      <w:pPr>
        <w:keepNext/>
        <w:keepLines/>
        <w:pageBreakBefore w:val="0"/>
        <w:kinsoku/>
        <w:wordWrap/>
        <w:overflowPunct/>
        <w:topLinePunct w:val="0"/>
        <w:autoSpaceDE/>
        <w:autoSpaceDN/>
        <w:bidi w:val="0"/>
        <w:spacing w:line="440" w:lineRule="exact"/>
        <w:textAlignment w:val="auto"/>
        <w:outlineLvl w:val="1"/>
        <w:rPr>
          <w:rFonts w:ascii="宋体" w:hAnsi="宋体" w:cs="宋体"/>
          <w:b/>
          <w:bCs/>
          <w:color w:val="auto"/>
          <w:sz w:val="24"/>
          <w:highlight w:val="none"/>
        </w:rPr>
      </w:pPr>
      <w:r>
        <w:rPr>
          <w:rFonts w:hint="eastAsia" w:ascii="宋体" w:hAnsi="宋体" w:cs="宋体"/>
          <w:b/>
          <w:bCs/>
          <w:color w:val="auto"/>
          <w:sz w:val="24"/>
          <w:highlight w:val="none"/>
        </w:rPr>
        <w:t>八、凡对本次</w:t>
      </w:r>
      <w:r>
        <w:rPr>
          <w:rFonts w:hint="eastAsia" w:ascii="宋体" w:hAnsi="宋体" w:cs="宋体"/>
          <w:b/>
          <w:bCs/>
          <w:color w:val="auto"/>
          <w:sz w:val="24"/>
          <w:highlight w:val="none"/>
          <w:lang w:val="en-US" w:eastAsia="zh-CN"/>
        </w:rPr>
        <w:t>招标</w:t>
      </w:r>
      <w:r>
        <w:rPr>
          <w:rFonts w:hint="eastAsia" w:ascii="宋体" w:hAnsi="宋体" w:cs="宋体"/>
          <w:b/>
          <w:bCs/>
          <w:color w:val="auto"/>
          <w:sz w:val="24"/>
          <w:highlight w:val="none"/>
        </w:rPr>
        <w:t>提出询问，请按以下方式联系。</w:t>
      </w:r>
      <w:bookmarkEnd w:id="30"/>
      <w:bookmarkEnd w:id="31"/>
      <w:bookmarkEnd w:id="32"/>
      <w:bookmarkEnd w:id="33"/>
    </w:p>
    <w:p w14:paraId="6C876315">
      <w:pPr>
        <w:pageBreakBefore w:val="0"/>
        <w:widowControl/>
        <w:shd w:val="clear" w:color="auto" w:fill="FFFFFF"/>
        <w:kinsoku/>
        <w:wordWrap/>
        <w:overflowPunct/>
        <w:topLinePunct w:val="0"/>
        <w:autoSpaceDE/>
        <w:autoSpaceDN/>
        <w:bidi w:val="0"/>
        <w:spacing w:line="440" w:lineRule="exact"/>
        <w:ind w:firstLine="480" w:firstLineChars="200"/>
        <w:jc w:val="left"/>
        <w:textAlignment w:val="auto"/>
        <w:rPr>
          <w:rFonts w:hint="eastAsia" w:ascii="宋体" w:hAnsi="宋体" w:cs="宋体"/>
          <w:color w:val="auto"/>
          <w:sz w:val="24"/>
          <w:szCs w:val="24"/>
          <w:highlight w:val="none"/>
        </w:rPr>
      </w:pPr>
      <w:bookmarkStart w:id="34" w:name="_Toc35393808"/>
      <w:bookmarkStart w:id="35" w:name="_Toc35393639"/>
      <w:bookmarkStart w:id="36" w:name="_Toc28359021"/>
      <w:bookmarkStart w:id="37" w:name="_Toc28359098"/>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招标人：如东县欣荣城镇开发建设有限公司</w:t>
      </w:r>
    </w:p>
    <w:p w14:paraId="300949F6">
      <w:pPr>
        <w:pageBreakBefore w:val="0"/>
        <w:widowControl/>
        <w:shd w:val="clear" w:color="auto" w:fill="FFFFFF"/>
        <w:kinsoku/>
        <w:wordWrap/>
        <w:overflowPunct/>
        <w:topLinePunct w:val="0"/>
        <w:autoSpaceDE/>
        <w:autoSpaceDN/>
        <w:bidi w:val="0"/>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地址：如东县掘港镇通海路3号                 </w:t>
      </w:r>
    </w:p>
    <w:p w14:paraId="2E5E3E22">
      <w:pPr>
        <w:pageBreakBefore w:val="0"/>
        <w:widowControl/>
        <w:shd w:val="clear" w:color="auto" w:fill="FFFFFF"/>
        <w:kinsoku/>
        <w:wordWrap/>
        <w:overflowPunct/>
        <w:topLinePunct w:val="0"/>
        <w:autoSpaceDE/>
        <w:autoSpaceDN/>
        <w:bidi w:val="0"/>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联系人：王军 </w:t>
      </w:r>
    </w:p>
    <w:p w14:paraId="6845C31B">
      <w:pPr>
        <w:pageBreakBefore w:val="0"/>
        <w:widowControl/>
        <w:shd w:val="clear" w:color="auto" w:fill="FFFFFF"/>
        <w:kinsoku/>
        <w:wordWrap/>
        <w:overflowPunct/>
        <w:topLinePunct w:val="0"/>
        <w:autoSpaceDE/>
        <w:autoSpaceDN/>
        <w:bidi w:val="0"/>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电话：15370657988                           </w:t>
      </w:r>
    </w:p>
    <w:p w14:paraId="0744BD05">
      <w:pPr>
        <w:pageBreakBefore w:val="0"/>
        <w:widowControl/>
        <w:shd w:val="clear" w:color="auto" w:fill="FFFFFF"/>
        <w:kinsoku/>
        <w:wordWrap/>
        <w:overflowPunct/>
        <w:topLinePunct w:val="0"/>
        <w:autoSpaceDE/>
        <w:autoSpaceDN/>
        <w:bidi w:val="0"/>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xml:space="preserve">招标代理机构：江苏建达全过程工程咨询有限公司  </w:t>
      </w:r>
    </w:p>
    <w:p w14:paraId="36AA9338">
      <w:pPr>
        <w:pageBreakBefore w:val="0"/>
        <w:widowControl/>
        <w:shd w:val="clear" w:color="auto" w:fill="FFFFFF"/>
        <w:kinsoku/>
        <w:wordWrap/>
        <w:overflowPunct/>
        <w:topLinePunct w:val="0"/>
        <w:autoSpaceDE/>
        <w:autoSpaceDN/>
        <w:bidi w:val="0"/>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地    址：海安市城东镇宁海南路195号501室  </w:t>
      </w:r>
    </w:p>
    <w:p w14:paraId="319C52E9">
      <w:pPr>
        <w:pageBreakBefore w:val="0"/>
        <w:widowControl/>
        <w:shd w:val="clear" w:color="auto" w:fill="FFFFFF"/>
        <w:kinsoku/>
        <w:wordWrap/>
        <w:overflowPunct/>
        <w:topLinePunct w:val="0"/>
        <w:autoSpaceDE/>
        <w:autoSpaceDN/>
        <w:bidi w:val="0"/>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联 系 人：耿工</w:t>
      </w:r>
    </w:p>
    <w:p w14:paraId="3135F95C">
      <w:pPr>
        <w:pageBreakBefore w:val="0"/>
        <w:widowControl/>
        <w:shd w:val="clear" w:color="auto" w:fill="FFFFFF"/>
        <w:kinsoku/>
        <w:wordWrap/>
        <w:overflowPunct/>
        <w:topLinePunct w:val="0"/>
        <w:autoSpaceDE/>
        <w:autoSpaceDN/>
        <w:bidi w:val="0"/>
        <w:spacing w:line="440" w:lineRule="exact"/>
        <w:ind w:firstLine="480" w:firstLineChars="200"/>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电    话：18761700616/15906291850</w:t>
      </w:r>
    </w:p>
    <w:bookmarkEnd w:id="1"/>
    <w:bookmarkEnd w:id="2"/>
    <w:bookmarkEnd w:id="34"/>
    <w:bookmarkEnd w:id="35"/>
    <w:bookmarkEnd w:id="36"/>
    <w:bookmarkEnd w:id="37"/>
    <w:p w14:paraId="262101ED">
      <w:pPr>
        <w:widowControl/>
        <w:shd w:val="clear" w:color="auto" w:fill="FFFFFF"/>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7AF1D278">
      <w:pPr>
        <w:widowControl/>
        <w:jc w:val="left"/>
        <w:rPr>
          <w:rFonts w:ascii="宋体" w:hAnsi="宋体" w:cs="宋体"/>
          <w:b/>
          <w:bCs/>
          <w:color w:val="auto"/>
          <w:kern w:val="0"/>
          <w:sz w:val="30"/>
          <w:szCs w:val="30"/>
          <w:highlight w:val="none"/>
        </w:rPr>
      </w:pPr>
      <w:r>
        <w:rPr>
          <w:b/>
          <w:bCs/>
          <w:color w:val="auto"/>
          <w:sz w:val="30"/>
          <w:szCs w:val="30"/>
          <w:highlight w:val="none"/>
        </w:rPr>
        <w:br w:type="page"/>
      </w:r>
    </w:p>
    <w:p w14:paraId="0F8EF26A">
      <w:pPr>
        <w:pStyle w:val="53"/>
        <w:shd w:val="clear" w:color="auto" w:fill="FFFFFF"/>
        <w:spacing w:before="0" w:beforeAutospacing="0" w:after="0" w:afterAutospacing="0" w:line="360" w:lineRule="auto"/>
        <w:jc w:val="center"/>
        <w:rPr>
          <w:color w:val="auto"/>
          <w:sz w:val="30"/>
          <w:szCs w:val="30"/>
          <w:highlight w:val="none"/>
        </w:rPr>
      </w:pPr>
      <w:r>
        <w:rPr>
          <w:rFonts w:hint="eastAsia"/>
          <w:b/>
          <w:bCs/>
          <w:color w:val="auto"/>
          <w:sz w:val="30"/>
          <w:szCs w:val="30"/>
          <w:highlight w:val="none"/>
        </w:rPr>
        <w:t xml:space="preserve">第二部分 </w:t>
      </w:r>
      <w:r>
        <w:rPr>
          <w:rFonts w:hint="eastAsia"/>
          <w:b/>
          <w:bCs/>
          <w:color w:val="auto"/>
          <w:sz w:val="30"/>
          <w:szCs w:val="30"/>
          <w:highlight w:val="none"/>
          <w:lang w:val="en-US" w:eastAsia="zh-CN"/>
        </w:rPr>
        <w:t xml:space="preserve"> 招标</w:t>
      </w:r>
      <w:r>
        <w:rPr>
          <w:rFonts w:hint="eastAsia"/>
          <w:b/>
          <w:bCs/>
          <w:color w:val="auto"/>
          <w:sz w:val="30"/>
          <w:szCs w:val="30"/>
          <w:highlight w:val="none"/>
        </w:rPr>
        <w:t>项目要求</w:t>
      </w:r>
    </w:p>
    <w:p w14:paraId="3B7DC454">
      <w:pPr>
        <w:spacing w:line="440" w:lineRule="exact"/>
        <w:ind w:firstLine="500" w:firstLineChars="200"/>
        <w:rPr>
          <w:rFonts w:ascii="宋体" w:hAnsi="宋体" w:cs="宋体"/>
          <w:color w:val="auto"/>
          <w:sz w:val="24"/>
          <w:highlight w:val="none"/>
        </w:rPr>
      </w:pPr>
      <w:r>
        <w:rPr>
          <w:rFonts w:hint="eastAsia" w:ascii="宋体" w:hAnsi="宋体" w:cs="宋体"/>
          <w:color w:val="auto"/>
          <w:sz w:val="25"/>
          <w:szCs w:val="25"/>
          <w:highlight w:val="none"/>
        </w:rPr>
        <w:t>一、物业管理内容及标准</w:t>
      </w:r>
    </w:p>
    <w:p w14:paraId="5ADB1CCA">
      <w:pPr>
        <w:spacing w:line="440" w:lineRule="exact"/>
        <w:ind w:firstLine="555"/>
        <w:rPr>
          <w:rFonts w:ascii="宋体" w:hAnsi="宋体" w:cs="宋体"/>
          <w:b/>
          <w:color w:val="auto"/>
          <w:sz w:val="24"/>
          <w:highlight w:val="none"/>
        </w:rPr>
      </w:pPr>
      <w:r>
        <w:rPr>
          <w:rFonts w:hint="eastAsia" w:ascii="宋体" w:hAnsi="宋体" w:cs="宋体"/>
          <w:b/>
          <w:color w:val="auto"/>
          <w:sz w:val="24"/>
          <w:highlight w:val="none"/>
        </w:rPr>
        <w:t>（一）前期介入服务</w:t>
      </w:r>
    </w:p>
    <w:p w14:paraId="44201FF4">
      <w:pPr>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参照有关技术规范，按照东建【2010】24号文件规定，确定前期介入服务内容。主要服务内容为：</w:t>
      </w:r>
    </w:p>
    <w:p w14:paraId="558E403C">
      <w:pPr>
        <w:spacing w:line="440" w:lineRule="exact"/>
        <w:ind w:firstLine="555"/>
        <w:rPr>
          <w:rFonts w:ascii="宋体" w:hAnsi="宋体" w:cs="宋体"/>
          <w:color w:val="auto"/>
          <w:sz w:val="25"/>
          <w:szCs w:val="25"/>
          <w:highlight w:val="none"/>
        </w:rPr>
      </w:pPr>
      <w:r>
        <w:rPr>
          <w:rFonts w:hint="eastAsia" w:ascii="宋体" w:hAnsi="宋体" w:cs="宋体"/>
          <w:color w:val="auto"/>
          <w:sz w:val="25"/>
          <w:szCs w:val="25"/>
          <w:highlight w:val="none"/>
        </w:rPr>
        <w:t>1、以维护交房后全体业主公共权益为基本立足点，配合监理公司从不同的角度对工程质量进行监管；</w:t>
      </w:r>
    </w:p>
    <w:p w14:paraId="53BCE443">
      <w:pPr>
        <w:spacing w:line="440" w:lineRule="exact"/>
        <w:ind w:firstLine="555"/>
        <w:rPr>
          <w:rFonts w:ascii="宋体" w:hAnsi="宋体" w:cs="宋体"/>
          <w:color w:val="auto"/>
          <w:sz w:val="25"/>
          <w:szCs w:val="25"/>
          <w:highlight w:val="none"/>
        </w:rPr>
      </w:pPr>
      <w:r>
        <w:rPr>
          <w:rFonts w:hint="eastAsia" w:ascii="宋体" w:hAnsi="宋体" w:cs="宋体"/>
          <w:color w:val="auto"/>
          <w:sz w:val="25"/>
          <w:szCs w:val="25"/>
          <w:highlight w:val="none"/>
        </w:rPr>
        <w:t>2、配合开发企业，做好安置房安置与物业管理的衔接；</w:t>
      </w:r>
    </w:p>
    <w:p w14:paraId="1CF57261">
      <w:pPr>
        <w:spacing w:line="440" w:lineRule="exact"/>
        <w:ind w:firstLine="555"/>
        <w:rPr>
          <w:rFonts w:ascii="宋体" w:hAnsi="宋体" w:cs="宋体"/>
          <w:color w:val="auto"/>
          <w:sz w:val="25"/>
          <w:szCs w:val="25"/>
          <w:highlight w:val="none"/>
        </w:rPr>
      </w:pPr>
      <w:r>
        <w:rPr>
          <w:rFonts w:hint="eastAsia" w:ascii="宋体" w:hAnsi="宋体" w:cs="宋体"/>
          <w:color w:val="auto"/>
          <w:sz w:val="25"/>
          <w:szCs w:val="25"/>
          <w:highlight w:val="none"/>
        </w:rPr>
        <w:t>3、业主入住时的交房、验房及相关书面告知和签字手续的准备和办理；</w:t>
      </w:r>
    </w:p>
    <w:p w14:paraId="2F43ABD0">
      <w:pPr>
        <w:spacing w:line="440" w:lineRule="exact"/>
        <w:ind w:firstLine="555"/>
        <w:rPr>
          <w:rFonts w:ascii="宋体" w:hAnsi="宋体" w:cs="宋体"/>
          <w:color w:val="auto"/>
          <w:sz w:val="25"/>
          <w:szCs w:val="25"/>
          <w:highlight w:val="none"/>
        </w:rPr>
      </w:pPr>
      <w:r>
        <w:rPr>
          <w:rFonts w:hint="eastAsia" w:ascii="宋体" w:hAnsi="宋体" w:cs="宋体"/>
          <w:color w:val="auto"/>
          <w:sz w:val="25"/>
          <w:szCs w:val="25"/>
          <w:highlight w:val="none"/>
        </w:rPr>
        <w:t>4、交房中心及周边场地保洁、秩序维护（含车辆管理）；</w:t>
      </w:r>
    </w:p>
    <w:p w14:paraId="6A6F7C82">
      <w:pPr>
        <w:spacing w:line="440" w:lineRule="exact"/>
        <w:ind w:firstLine="555"/>
        <w:rPr>
          <w:rFonts w:ascii="宋体" w:hAnsi="宋体" w:cs="宋体"/>
          <w:color w:val="auto"/>
          <w:sz w:val="25"/>
          <w:szCs w:val="25"/>
          <w:highlight w:val="none"/>
        </w:rPr>
      </w:pPr>
      <w:r>
        <w:rPr>
          <w:rFonts w:hint="eastAsia" w:ascii="宋体" w:hAnsi="宋体" w:cs="宋体"/>
          <w:color w:val="auto"/>
          <w:sz w:val="25"/>
          <w:szCs w:val="25"/>
          <w:highlight w:val="none"/>
        </w:rPr>
        <w:t>5、物业的品牌宣传及门招的管理；</w:t>
      </w:r>
    </w:p>
    <w:p w14:paraId="01EEF7DB">
      <w:pPr>
        <w:spacing w:line="440" w:lineRule="exact"/>
        <w:ind w:firstLine="555"/>
        <w:rPr>
          <w:rFonts w:ascii="宋体" w:hAnsi="宋体" w:cs="宋体"/>
          <w:color w:val="auto"/>
          <w:sz w:val="25"/>
          <w:szCs w:val="25"/>
          <w:highlight w:val="none"/>
        </w:rPr>
      </w:pPr>
      <w:r>
        <w:rPr>
          <w:rFonts w:hint="eastAsia" w:ascii="宋体" w:hAnsi="宋体" w:cs="宋体"/>
          <w:color w:val="auto"/>
          <w:sz w:val="25"/>
          <w:szCs w:val="25"/>
          <w:highlight w:val="none"/>
        </w:rPr>
        <w:t>6、配合开发企业做好物业的全面查验、移交、接管工作；</w:t>
      </w:r>
    </w:p>
    <w:p w14:paraId="1A5B20BF">
      <w:pPr>
        <w:spacing w:line="440" w:lineRule="exact"/>
        <w:ind w:firstLine="555"/>
        <w:rPr>
          <w:rFonts w:ascii="宋体" w:hAnsi="宋体" w:cs="宋体"/>
          <w:color w:val="auto"/>
          <w:sz w:val="25"/>
          <w:szCs w:val="25"/>
          <w:highlight w:val="none"/>
        </w:rPr>
      </w:pPr>
      <w:r>
        <w:rPr>
          <w:rFonts w:hint="eastAsia" w:ascii="宋体" w:hAnsi="宋体" w:cs="宋体"/>
          <w:color w:val="auto"/>
          <w:sz w:val="25"/>
          <w:szCs w:val="25"/>
          <w:highlight w:val="none"/>
        </w:rPr>
        <w:t>7、协助开发企业做好社区物管衔接工作；</w:t>
      </w:r>
    </w:p>
    <w:p w14:paraId="0ADEE60A">
      <w:pPr>
        <w:spacing w:line="440" w:lineRule="exact"/>
        <w:ind w:firstLine="555"/>
        <w:rPr>
          <w:rFonts w:ascii="宋体" w:hAnsi="宋体" w:cs="宋体"/>
          <w:color w:val="auto"/>
          <w:sz w:val="25"/>
          <w:szCs w:val="25"/>
          <w:highlight w:val="none"/>
        </w:rPr>
      </w:pPr>
      <w:r>
        <w:rPr>
          <w:rFonts w:hint="eastAsia" w:ascii="宋体" w:hAnsi="宋体" w:cs="宋体"/>
          <w:color w:val="auto"/>
          <w:sz w:val="25"/>
          <w:szCs w:val="25"/>
          <w:highlight w:val="none"/>
        </w:rPr>
        <w:t>8、物业交付业主使用前的保洁开荒；</w:t>
      </w:r>
    </w:p>
    <w:p w14:paraId="7F99EDC3">
      <w:pPr>
        <w:spacing w:line="440" w:lineRule="exact"/>
        <w:ind w:firstLine="555"/>
        <w:rPr>
          <w:rFonts w:ascii="宋体" w:hAnsi="宋体" w:cs="宋体"/>
          <w:color w:val="auto"/>
          <w:sz w:val="21"/>
          <w:szCs w:val="21"/>
          <w:highlight w:val="none"/>
        </w:rPr>
      </w:pPr>
      <w:r>
        <w:rPr>
          <w:rFonts w:hint="eastAsia" w:ascii="宋体" w:hAnsi="宋体" w:cs="宋体"/>
          <w:color w:val="auto"/>
          <w:sz w:val="25"/>
          <w:szCs w:val="25"/>
          <w:highlight w:val="none"/>
        </w:rPr>
        <w:t>9、物业早期介入其他工作内容，包括但不限于：物业开办费、办公物资费、承接查验费、开荒保洁费费等。</w:t>
      </w:r>
    </w:p>
    <w:p w14:paraId="43710897">
      <w:pPr>
        <w:spacing w:line="440" w:lineRule="exact"/>
        <w:ind w:firstLine="555"/>
        <w:rPr>
          <w:rFonts w:ascii="宋体" w:hAnsi="宋体" w:cs="宋体"/>
          <w:b/>
          <w:color w:val="auto"/>
          <w:sz w:val="24"/>
          <w:highlight w:val="none"/>
        </w:rPr>
      </w:pPr>
      <w:r>
        <w:rPr>
          <w:rFonts w:hint="eastAsia" w:ascii="宋体" w:hAnsi="宋体" w:cs="宋体"/>
          <w:b/>
          <w:color w:val="auto"/>
          <w:sz w:val="24"/>
          <w:highlight w:val="none"/>
        </w:rPr>
        <w:t>（二）前期物业服务</w:t>
      </w:r>
    </w:p>
    <w:p w14:paraId="3632FDC3">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1、物业管理区域内物业共用部位、共用设施设备的管理及维修养护；</w:t>
      </w:r>
    </w:p>
    <w:p w14:paraId="7C81D5A5">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2、物业管理区域内公共秩序和环境卫生的维护；</w:t>
      </w:r>
    </w:p>
    <w:p w14:paraId="44916FD3">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3、物业管理区域内的绿化养护和管理；</w:t>
      </w:r>
    </w:p>
    <w:p w14:paraId="154A5554">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4、物业管理区域内车辆（机动车和非机动车）行驶、停放及场所管理</w:t>
      </w:r>
    </w:p>
    <w:p w14:paraId="1C42D1CB">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5、供水、供电、供气、电信等专业单位在物业管理区域内对相关管线、设施维修养护，进行必要的协调与管理；</w:t>
      </w:r>
    </w:p>
    <w:p w14:paraId="2F6EF100">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6、物业管理区域的日常安全巡查服务；</w:t>
      </w:r>
    </w:p>
    <w:p w14:paraId="1B96023B">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7、物业档案资料的保管及有关物业服务费用的账务管理；</w:t>
      </w:r>
    </w:p>
    <w:p w14:paraId="7CDBF7B7">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8、物业管理区域业主（使用人）装饰装修物业的服务。</w:t>
      </w:r>
    </w:p>
    <w:p w14:paraId="3742B378">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9、社区文化的组织与展开</w:t>
      </w:r>
    </w:p>
    <w:p w14:paraId="4B7C953C">
      <w:pPr>
        <w:spacing w:line="440" w:lineRule="exact"/>
        <w:ind w:firstLine="555"/>
        <w:rPr>
          <w:rFonts w:ascii="宋体" w:hAnsi="宋体" w:cs="宋体"/>
          <w:color w:val="auto"/>
          <w:sz w:val="24"/>
          <w:highlight w:val="none"/>
        </w:rPr>
      </w:pPr>
      <w:r>
        <w:rPr>
          <w:rFonts w:hint="eastAsia" w:ascii="宋体" w:hAnsi="宋体" w:cs="宋体"/>
          <w:color w:val="auto"/>
          <w:sz w:val="24"/>
          <w:highlight w:val="none"/>
        </w:rPr>
        <w:t>二、前期物业管理服务的要求</w:t>
      </w:r>
    </w:p>
    <w:p w14:paraId="0446824B">
      <w:pPr>
        <w:spacing w:line="440" w:lineRule="exact"/>
        <w:ind w:firstLine="555"/>
        <w:rPr>
          <w:rFonts w:ascii="宋体" w:hAnsi="宋体" w:cs="宋体"/>
          <w:b/>
          <w:color w:val="auto"/>
          <w:sz w:val="24"/>
          <w:highlight w:val="none"/>
        </w:rPr>
      </w:pPr>
      <w:r>
        <w:rPr>
          <w:rFonts w:hint="eastAsia" w:ascii="宋体" w:hAnsi="宋体" w:cs="宋体"/>
          <w:b/>
          <w:color w:val="auto"/>
          <w:sz w:val="24"/>
          <w:highlight w:val="none"/>
        </w:rPr>
        <w:t>（一）前期介入服务</w:t>
      </w:r>
    </w:p>
    <w:p w14:paraId="34064B67">
      <w:pPr>
        <w:spacing w:line="440" w:lineRule="exact"/>
        <w:ind w:firstLine="555"/>
        <w:rPr>
          <w:rFonts w:ascii="宋体" w:hAnsi="宋体" w:cs="宋体"/>
          <w:color w:val="auto"/>
          <w:sz w:val="24"/>
          <w:highlight w:val="none"/>
        </w:rPr>
      </w:pPr>
      <w:r>
        <w:rPr>
          <w:rFonts w:hint="eastAsia" w:ascii="宋体" w:hAnsi="宋体" w:cs="宋体"/>
          <w:color w:val="auto"/>
          <w:sz w:val="24"/>
          <w:highlight w:val="none"/>
        </w:rPr>
        <w:t>通过开展积极有效的前期介入服务，促成开发建设单位提供优良合格的物业产品。物业公司在业主入户前、入户时两阶段的管理过程中，紧密配合招标人的房屋销售及政府安置房安置管理。</w:t>
      </w:r>
    </w:p>
    <w:p w14:paraId="757748DE">
      <w:pPr>
        <w:spacing w:line="44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前期介入服务标准</w:t>
      </w:r>
    </w:p>
    <w:p w14:paraId="74ACE9B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工程质量监管配合工作标准。在开发建设单位领取预售许可证后，前期物业公司站在维护交房后全体业主公共权益的角度，从管理硬件要求和物业使用合理性出发，积极配合监理公司做好物业开发建设的程序化管理，重点配合做好物管用房等业主共有产权用房及共用部位、共有设施设备的设计定位和质量监管工作，以有效预防物业质量缺陷，向业主交付合格优良的物业产品。</w:t>
      </w:r>
    </w:p>
    <w:p w14:paraId="0C74EB2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房屋交付与物业管理衔接工作标准。商品房销售过程中，凡涉及物业管理，业主公共权益的广告内容必须合法、真实、准确，不得扩大或虚假，不得就物业服务费的减免及其他物业管理行为作出不恰当的许诺。配合开发建设单位将《临时管理规约》、《前期物业服务合同》向物业买受人明示，要求物业买受人就遵守《临时管理规约》和相关物业管理规定作出书面承诺。</w:t>
      </w:r>
    </w:p>
    <w:p w14:paraId="2DA3137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3、交房、验房等手续办理工作标准。公开相关代收代办费用、前期物业服务费用的收费项目、内容、标准，实行明码标价收费。书面通知业主办理交房、验房手续，热情服务。</w:t>
      </w:r>
    </w:p>
    <w:p w14:paraId="30AC21E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安置中心及周边场地保洁、秩序维护工作标准。保洁工作要做到巡回正常保洁，窗明几净、一尘不染；秩序维护工作要做到车辆停放整齐有序、秩序维护员全天候在岗，维护车辆和行人交通秩序，确保井然有序。</w:t>
      </w:r>
    </w:p>
    <w:p w14:paraId="056458D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5、广告统一管理及相关工作标准。按开发建设单位要求，配合做好物业品牌宣传及门招广告的统一设计、管理工作。</w:t>
      </w:r>
    </w:p>
    <w:p w14:paraId="1472884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6、物业全面查验、移交、接管工作标准。按照“东建【2010】24号”文件要求执行。</w:t>
      </w:r>
    </w:p>
    <w:p w14:paraId="225B72D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社区物管工作衔接工作标准。在物业开发建设阶段，积极促成开发建设单位与街道、社区的工作对接，建立正常性对话、联系、协商机制；积极促成开发建设单位最终履行前期物管职责，筹备召开首届业主大会，成立业主委员会。</w:t>
      </w:r>
    </w:p>
    <w:p w14:paraId="25A0F82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8、物业交付业主使用前的保洁开荒工作标准。在向业主交房前，物业公司对物管区域内各类房屋、共用部位、共用设施设备进行全面清洁，以保证业主入住时的良好物业形象。</w:t>
      </w:r>
    </w:p>
    <w:p w14:paraId="2BE968AC">
      <w:pPr>
        <w:spacing w:line="440" w:lineRule="exact"/>
        <w:ind w:firstLine="472" w:firstLineChars="196"/>
        <w:rPr>
          <w:rFonts w:ascii="宋体" w:hAnsi="宋体" w:cs="宋体"/>
          <w:b/>
          <w:color w:val="auto"/>
          <w:sz w:val="24"/>
          <w:highlight w:val="none"/>
        </w:rPr>
      </w:pPr>
      <w:r>
        <w:rPr>
          <w:rFonts w:hint="eastAsia" w:ascii="宋体" w:hAnsi="宋体" w:cs="宋体"/>
          <w:b/>
          <w:color w:val="auto"/>
          <w:sz w:val="24"/>
          <w:highlight w:val="none"/>
        </w:rPr>
        <w:t>（二）前期物业服务</w:t>
      </w:r>
    </w:p>
    <w:p w14:paraId="28D169E1">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1．服务人员要求</w:t>
      </w:r>
    </w:p>
    <w:p w14:paraId="42619260">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1.1仪表仪容</w:t>
      </w:r>
    </w:p>
    <w:p w14:paraId="3FFFAF4A">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统一着装，佩戴统一标志，仪表端庄、大方，衣着整洁，表情自然和谒、亲切；对业主（使用人）一视同仁；接待时主动、热情、规范，迎送接待业主（使用人）时，用语准确，称呼恰当，问候亲切，语气诚恳，耐心细致；使用文明用语，不应使用服务忌语。对业主（使用人）的报修与求助应耐心细致，对收费项目及时说明服务标准、服务方式、收费标准等事项，征求业主（使用人）意见。</w:t>
      </w:r>
    </w:p>
    <w:p w14:paraId="047DD13D">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1.1.1值守 </w:t>
      </w:r>
    </w:p>
    <w:p w14:paraId="16E7A71B">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有完善的值班制度和交接班制度；工作有记录。 周一至周日在服务处8小时业务接待，其余时间在固定地点值班，公示24小时值班与接待电话。</w:t>
      </w:r>
    </w:p>
    <w:p w14:paraId="5334B8F1">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1.1.2服务时限 </w:t>
      </w:r>
    </w:p>
    <w:p w14:paraId="693B9C83">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急修30分钟到场查看处理，24小时内修复，若不能，要有紧急处理措施，并对业主（使用人）做出合理解释，做出限时承诺。小修2日内修复，特殊情况必须做出说明和限时承诺。投诉按处理流程24小时内答复处理，做到投诉有受理、有记录、有处理、有回访。服务时限不得以节假日和休息时间顺延。（居民预约、雨天筑漏可不受3日限制）。 </w:t>
      </w:r>
    </w:p>
    <w:p w14:paraId="41A2DB9B">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1.2巡检</w:t>
      </w:r>
    </w:p>
    <w:p w14:paraId="3801DDDD">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每年年底或年初对房屋共用部位、设施设备、道路、绿地等进行全面检查1次，掌握房屋设施设备完损状况，对完损程度做出评价；每月检查巡视1次房屋主体结构，发现质量问题及时向业主或来主委员会报告与建议；根据业主或业主委员会的委托，组织维修工作，在冬、雨季和天气异常时安排组织房屋设施巡视，对质量较差，易出问题的部位重点检查；每半年清除1次屋面、檐沟内落叶杂物树叶等，疏通雨水口、落水管等；</w:t>
      </w:r>
    </w:p>
    <w:p w14:paraId="59A36C87">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每周巡视1次小区楼房单元门、楼梯间通道部位以及其它共用部位的门窗、玻璃、路灯等，做专项检修1次；</w:t>
      </w:r>
    </w:p>
    <w:p w14:paraId="327D6FB4">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业主已委托管理的空置房，每周户外巡视1次；发现门窗损坏、锁具被撬、异味等异常情况及时通知业主，并采取必要的紧急处理措施；</w:t>
      </w:r>
    </w:p>
    <w:p w14:paraId="0561697D">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巡检有记录；</w:t>
      </w:r>
    </w:p>
    <w:p w14:paraId="79A224D3">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巡检结束将检查情况、维修计划及埋要进行大、中修或更新改造的项目报告业主或者业主委员会。</w:t>
      </w:r>
    </w:p>
    <w:p w14:paraId="35A9B339">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1．2．2房屋</w:t>
      </w:r>
    </w:p>
    <w:p w14:paraId="4BB93D3E">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1．2．2．1装修管理</w:t>
      </w:r>
    </w:p>
    <w:p w14:paraId="1A85C86D">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2．1．1签订装饰装修服务协议，将住宅室内装饰装修工程的禁止行为和注意事项告知装修人，包括不得擅自改变房屋的结构，确保建筑物、主体结构和外墙面不受破坏，不得改变小区建筑物整体外貌（不得在室外安装防盗窗、防盗网，空调外机不得随意乱挂），不得进行违章凿、拆、搭、建。</w:t>
      </w:r>
    </w:p>
    <w:p w14:paraId="04E2E192">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不得占用或损坏楼梯、通道、走廊、道路、停车场等公共部位的设施设备。</w:t>
      </w:r>
    </w:p>
    <w:p w14:paraId="1D23774F">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不得损坏或擅自拆除、截断、改变连接改造供电、供水、供气、通讯、排水管道、排污管道，消防等共用设施设备。</w:t>
      </w:r>
    </w:p>
    <w:p w14:paraId="7D3BDAD0">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1．2．2．1．2对业主（使用人）装修房屋地申请，应在2个工作日内给出同意意见或修改意见，并签定装饰装修管理服务协议；</w:t>
      </w:r>
    </w:p>
    <w:p w14:paraId="4CC20D4F">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1．2．2．1．3业主（使用人）装修期间每日巡查装修施工情况；</w:t>
      </w:r>
    </w:p>
    <w:p w14:paraId="65E4EA30">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1．2．2．1．4装修结束组织验收；</w:t>
      </w:r>
    </w:p>
    <w:p w14:paraId="06FA0AE3">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1．2．2．1．5验收合格2个月后组织复验；</w:t>
      </w:r>
    </w:p>
    <w:p w14:paraId="24D9FE21">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1．2．2．1．6复验合格后3个工作日内退还装修保证金；</w:t>
      </w:r>
    </w:p>
    <w:p w14:paraId="5CB4A9EB">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1．2．2．1．7对装修中的违约行为及时劝阻；已造成事实后果或者拒不改正的，应当及时报告有关部门依法处理。</w:t>
      </w:r>
    </w:p>
    <w:p w14:paraId="12C9D39E">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1．2．2．2油漆粉饰</w:t>
      </w:r>
    </w:p>
    <w:p w14:paraId="41A101C6">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每月巡查1次。木门窗、百叶门窗、封檐板、木栏杆等油漆起皮、剥落或更换的新木件应油饰；钢门窗、铁皮雨水斗、落水管、铁皮屋同、钢屋架及支撑或其他各类构件（铁栅栏、铁栏杆、铁门）其油漆起皮、剥落或铁件锈蚀应除锈、刷防锈涂料后油饰；铸铁污水管、水管、煤气管在刷防锈漆后应刷两道银粉。</w:t>
      </w:r>
    </w:p>
    <w:p w14:paraId="514ADD08">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1．2．2．3建筑物外立面</w:t>
      </w:r>
    </w:p>
    <w:p w14:paraId="78DC648E">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每月检查1次，有脱落及时修补。建筑物外立面为玻璃幕墙、瓷砖、仿石、大理石的，至少每年清洗1次，外立面为其他材质的，视材质情况定期清洗。因施工等原因致使建筑物、构筑物外立面有明显污迹的，应当及时进行清洗、粉饰。</w:t>
      </w:r>
    </w:p>
    <w:p w14:paraId="13D43F2E">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委托合同另有约定的按合同约定执行。</w:t>
      </w:r>
    </w:p>
    <w:p w14:paraId="3D517AE1">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1．2．3给排水系统及其配套设施</w:t>
      </w:r>
    </w:p>
    <w:p w14:paraId="47D01486">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1．2．3．1给水设施</w:t>
      </w:r>
    </w:p>
    <w:p w14:paraId="32571E45">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饮用水水池（箱）半年消毒一次，操作人员具有相应操作资格，按照程序操作，清洗时无二次污染，有严密的管理措施；水质每半年化验1次，保持池体内清洁，不有对水质构成污染的因素，保持水池（箱）结构完好，无渗漏，表面和支架不锈蚀，漆膜脱落处及时修补。每2个月检查保养1次水箱人孔、进水管、溢水管、泻水管、水位计、液位传感器、浮球阀和各类闸门；冬季水箱有可靠的保温措施，且不得对水质产生污染。</w:t>
      </w:r>
    </w:p>
    <w:p w14:paraId="79A8645D">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保持泵房清洁卫生，良好的通风、照明和采暖，地面排水畅通，每3个月（结合清洗水池）清洗一次泵房；水泵运行正常，每2小时稳定正常，阀门开关灵活，发现滴漏及时维修；消防泵、喷淋泵、污水泵等不经常启动的水泵，每月启动一次，保持水泵能正常运行，每月检查一次消防泵及管道阀门，使之处理完好和正常开启状态；水泵运转部件经常加油，保持润滑灵活；每年对水泵机组清洁保养1次；泵房内设备，每年更新各种标志1次，每日填写水泵运行记录，建档备查；</w:t>
      </w:r>
    </w:p>
    <w:p w14:paraId="0EE69229">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每年对共用明装给水管道进行1次全面检查维修，对轻度锈蚀应将脱皮清理干净，在管道干燥的情况下，涂刷防锈漆两遍，然后在刷两遍面漆。各类阀门定期开关，出现故障的阀门及时修复，阀门应开关灵活；</w:t>
      </w:r>
    </w:p>
    <w:p w14:paraId="46B7E6B5">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楼内压力供水管道及泵房、水塔、水箱等损坏、漏水、脱落或零件残损等及时修复；定期维护保养。</w:t>
      </w:r>
    </w:p>
    <w:p w14:paraId="0BFCBFE4">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1．2．3．2排水设施</w:t>
      </w:r>
    </w:p>
    <w:p w14:paraId="591EF220">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化粪池每年清理2次，出入口畅通，井内无积物浮于面上，池盖无污渍、污物，清理后及时清洁现场。</w:t>
      </w:r>
    </w:p>
    <w:p w14:paraId="2FA1CF04">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楼面落水管落水口等保持完了，开裂、破损等及时更换，定期检查；</w:t>
      </w:r>
    </w:p>
    <w:p w14:paraId="66E8301E">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每周清扫1 次排水明沟内的泥沙、纸屑等垃圾，拔出沟内生长的杂草；排水畅通，无积水、无杂草；楼顶每年检查清理雨水口2次；每年雨季前疏通管道1次。</w:t>
      </w:r>
    </w:p>
    <w:p w14:paraId="4DB88AA0">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每半年对地下管井清理1次，捞取起井内泥沙和悬浮物；每年对地下管井彻底疏通1次，清理结束地面冲洗干净。清理时地面竖警示牌，必要时加护拦。清理后达到水流畅通，井底无沉淀物，井盖上无污渍、污物。</w:t>
      </w:r>
    </w:p>
    <w:p w14:paraId="0782420B">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1．2．4供配电系统</w:t>
      </w:r>
    </w:p>
    <w:p w14:paraId="29D08485">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建立和完善有关规章制度，包括电气设备运行操作规程、安全操作规程、事故处理规程、巡视检查员制度、维护制度、安全及交接班制度；值班人员具备变配电运行知识和技能，具备上岗资格，持有上岗证书；保持配电房清洁卫生，每周清扫地面及擦试配电柜表面，要求地面干燥无积灰配电柜表面无污渍；</w:t>
      </w:r>
    </w:p>
    <w:p w14:paraId="736EA7A5">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每日检查变压器电压、电流互感器、断路器、隔离开关、高压熔断器及避雷器、配电箱、导线等供配电系统的运行状况，并定时抄表做好记录，出现异常及时处理；</w:t>
      </w:r>
    </w:p>
    <w:p w14:paraId="0018A4C0">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每年委托专业单位对变压器、高压开关柜进行1次测试、试验等项目的维修保养；每年对变压器外部、低压配电柜进行2次清洁、保养；保证正常电力供应，限电、停电按规定进间通知业主（使用人）；每年检测1次保安接地电阻；每年检测1次配电房主要电器设备的绝缘强度；每年检测2次配电房内消防器材，保持消防器材完好；妥善保管高压操作工具，并每年送供电部门检测1次；</w:t>
      </w:r>
    </w:p>
    <w:p w14:paraId="05219749">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潮湿天气时，采用安全有效措施，保持配电房内主要电器设备干燥；</w:t>
      </w:r>
    </w:p>
    <w:p w14:paraId="62E62B2D">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每月检测1次配电房内有无蛙、鼠、蚁等虫害，如发现马上采取措施杜绝；</w:t>
      </w:r>
    </w:p>
    <w:p w14:paraId="7C4D3CBE">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每日填写运行记录，建档备查。</w:t>
      </w:r>
    </w:p>
    <w:p w14:paraId="0FB87417">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1．2．5弱电系统</w:t>
      </w:r>
    </w:p>
    <w:p w14:paraId="16AEDE81">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操作人员受过专业培训，持证上岗；</w:t>
      </w:r>
    </w:p>
    <w:p w14:paraId="4DCE24E6">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工作时认真负责，精神集中，对异常情况能及时识别；发现异常，及时处理；</w:t>
      </w:r>
    </w:p>
    <w:p w14:paraId="43211468">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有切实可行的维修保养计划；保养、检修及时；</w:t>
      </w:r>
    </w:p>
    <w:p w14:paraId="6F1065FA">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对相关设备、设施定期进行调试，使系统处理最佳工作状态；</w:t>
      </w:r>
    </w:p>
    <w:p w14:paraId="23633100">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工作、维护、养护有记录，特殊系统、设备的进入经过授权，密码有有效保护；</w:t>
      </w:r>
    </w:p>
    <w:p w14:paraId="63EF6178">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分系统定时检查和记录各部门、各监控点的工作及运行状态，定期对各类信息、数据进行统计分析，开成日、月报表。</w:t>
      </w:r>
    </w:p>
    <w:p w14:paraId="1907118D">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1．2．6避雷接地系统</w:t>
      </w:r>
    </w:p>
    <w:p w14:paraId="3AAA6AD5">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每年雨季来临之前，对整个避雷接地系统进行检查维护；在大雷雨过后也要及时对系统检查，发现严重腐蚀、松脱等立即更换或紧固。</w:t>
      </w:r>
    </w:p>
    <w:p w14:paraId="7A535875">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1．2．7电梯运行与管理</w:t>
      </w:r>
    </w:p>
    <w:p w14:paraId="27C5F676">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1．2．7．1</w:t>
      </w:r>
    </w:p>
    <w:p w14:paraId="0CDB07F0">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安装、维修、保养人员和电梯司机均应持有关行政主管部门核发的特种作业操作证上岗，并定期参加复审；建立健全电梯管理制度，至少包括：《岗位安全操作规程》、《维修保养制度》、《岗位责任制度》、《交接班制度》、《设备档案管理制度》、《安全使用管理制度》和详细的《维修保养计划》。</w:t>
      </w:r>
    </w:p>
    <w:p w14:paraId="0BCBD0B5">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1．2．7．2</w:t>
      </w:r>
    </w:p>
    <w:p w14:paraId="11A5AD07">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安全设施完好、齐全，通风、照明等附属设施完好；在电梯轿厢内明显位置张贴《电梯安全使用许可证》，注明：注册登记及检验合格标志、电梯管理部门、管理人员、安装人员、安装企业、维修保养企业以及相应的应急报警、投诉电话号码。</w:t>
      </w:r>
    </w:p>
    <w:p w14:paraId="0A7AD9C0">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1．2．7．3</w:t>
      </w:r>
    </w:p>
    <w:p w14:paraId="1FD38F71">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与持有关行政主管部门核发的安全认可证书的企业签订维修保养、大中修更新改造合同，并明确被委托企业的责任。如需自行维护保养电梯，应按电梯数量及工作状况配备足够的维护保养人员，其管理部门应将电梯管量人员、维护保养人员、联系电话及有关资料报送设备所在地有关行政主管部门，经核准后，方可自行维护保养。</w:t>
      </w:r>
    </w:p>
    <w:p w14:paraId="7F714FB8">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1．2．7．4</w:t>
      </w:r>
    </w:p>
    <w:p w14:paraId="41FDC313">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电梯及其安全设施每周不少于1次，进行清洁、润滑、调整和检查等例行保养；每年对小区所有电梯进行1次全面综合检查、清洗、润滑、修理、调整和测试；年度检测由维修保养企业的注册安全检测员实施并签署检测报告；每台电梯每隔2年必须进行1次负荷校调试验，负荷校调试验由注册安全检测员实施并签署试验报告。试验报告副本应送有关行政主管部门备案。</w:t>
      </w:r>
    </w:p>
    <w:p w14:paraId="069F1976">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1．2．7．5</w:t>
      </w:r>
    </w:p>
    <w:p w14:paraId="45EE76D9">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保持电梯机房清洁，每周1次清扫地面和擦试控制柜、主机表面，地面无积灰，控制柜、主机表面无污渍；保持电梯机房消防设施完好；每年检查2次电梯井底，清除垃圾杂物。</w:t>
      </w:r>
    </w:p>
    <w:p w14:paraId="1F4A8345">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1．2．7．6</w:t>
      </w:r>
    </w:p>
    <w:p w14:paraId="1C22E343">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确定合理的电梯运行时间，随时监督电梯运行状况，加强日常维修保养，适时降温、通风、防雨，做好运行服务，经常巡查楼层，防止地面水流入电梯井，值班监督，防止违章使用电梯，记录每日电梯运行情况，建档备案。</w:t>
      </w:r>
    </w:p>
    <w:p w14:paraId="47426C9B">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1．2．7．7</w:t>
      </w:r>
    </w:p>
    <w:p w14:paraId="73580631">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电梯维护保养提前一天通知业主（使用人），并尽可能减少对业主（使用人）正常生活的影响。建立电梯运行档案，记录电梯运行情况和维修保养工作内容；住宅电梯年故障率低于7%。</w:t>
      </w:r>
    </w:p>
    <w:p w14:paraId="47EAE471">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1．2．7．8</w:t>
      </w:r>
    </w:p>
    <w:p w14:paraId="47E62662">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制定紧急救援方案和操作程序，在接到报警信号45分钟设法解救乘客、热电厂除设备故障。</w:t>
      </w:r>
    </w:p>
    <w:p w14:paraId="4D671CFE">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1．2．7．9</w:t>
      </w:r>
    </w:p>
    <w:p w14:paraId="760B550C">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使用有关行政主管部门统一制度的《起重机械安全技术档安（电梯类）》，对电梯逐台建档、建卡、注册登记。电梯技术档案资料应包括《起重机械安全技术档安（电梯类）》和《起重机械登记卡片（电梯类）》；产品质量合格证明；大中修更新改造后的电梯应有质量验收证明（或质量验收报告）；更改部分须有变更设计的证明文件；电梯安装验收证明和报告；运转、保养、维修记录；定期安全检查和事故良录；电梯随机文件，至少包括：井道及机房土建图、电气控制原理图、电气敷设图、电器元件代号说明书、安装调试说明书、使用维护说明书、出厂明细表（装箱单）等技术资料。</w:t>
      </w:r>
    </w:p>
    <w:p w14:paraId="23210FD9">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1．2．7．10</w:t>
      </w:r>
    </w:p>
    <w:p w14:paraId="488028F7">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按照国家有关制度组织办量电梯年检和电梯准用证。</w:t>
      </w:r>
    </w:p>
    <w:p w14:paraId="3574C390">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1．2．8照明系统维护</w:t>
      </w:r>
    </w:p>
    <w:p w14:paraId="053267A6">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加强路灯、楼道灯检查与维护。</w:t>
      </w:r>
    </w:p>
    <w:p w14:paraId="1A7FE909">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路灯每3个月全面检查与保养一次，灯泡随坏随换。点亮时间保持在天黑至天明。节日灯在定节日正常亮灯至当日24点。</w:t>
      </w:r>
    </w:p>
    <w:p w14:paraId="7DDE9FC8">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楼道灯及开关每周全面检查与保养1次，灯具随坏随换。</w:t>
      </w:r>
    </w:p>
    <w:p w14:paraId="5C324B13">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1．2．9道路、及配套设施</w:t>
      </w:r>
    </w:p>
    <w:p w14:paraId="6C7718E7">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加强道路维修与养护，制定详细的道路维修养护计划，按照合同约定实施；</w:t>
      </w:r>
    </w:p>
    <w:p w14:paraId="6F059601">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保持居住区道路及消防专用通道畅通（按业委会制定的有关关于消防通道、小区车辆及建筑物整体形象管理规则执行），路面平坦整齐，排水畅通；</w:t>
      </w:r>
    </w:p>
    <w:p w14:paraId="63F786D4">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设立报修渠道，并有巡查制度，专人负责，发现损坏及时修补；</w:t>
      </w:r>
    </w:p>
    <w:p w14:paraId="2EDAA00F">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按照《管理规约》的约定，劝阻人为损坏路面，制止在路面焚烧垃圾、落叶或其他杂物；</w:t>
      </w:r>
    </w:p>
    <w:p w14:paraId="5E63C195">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1．3清洁管理</w:t>
      </w:r>
    </w:p>
    <w:p w14:paraId="0AAB89DB">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1．3．1共用楼道保洁</w:t>
      </w:r>
    </w:p>
    <w:p w14:paraId="37689D3A">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每天打扫1次各楼层通道和楼梯台阶，循环保洁。每周清洁1次楼梯扶手；每周擦抹1次各层和通道的防火门、消防栓、玻璃箱内侧、灯具、墙面、地脚线、指示牌等公共设施；每周楼梯间墙面除尘1次；每周擦1次楼梯道共用门窗玻璃；无垃圾、杂物，无明显污迹，无乱堆乱放，无乱贴乱划，无擅自占用现象，目视基本干净；梯间顶面无明显蜘蛛网、灰尘；外墙窗玻璃无积灰。</w:t>
      </w:r>
    </w:p>
    <w:p w14:paraId="46C50936">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1．3．2电梯及电梯厅保洁</w:t>
      </w:r>
    </w:p>
    <w:p w14:paraId="693A9459">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每日清扫2次电梯轿箱内垃圾，抹布擦试1次电梯门壁；每月对电梯内的墙面和地面进行全面的擦试清洗1次；灯饰及轿箱顶部每月清洁一次。</w:t>
      </w:r>
    </w:p>
    <w:p w14:paraId="339C84FC">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1．3．3共用卫生间保洁</w:t>
      </w:r>
    </w:p>
    <w:p w14:paraId="3BB6D423">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每日对共用卫生间清洁2次，（清洁内容包括：通风换气；冲洗烟灰缸、洁具；清扫地面垃圾、清倒垃圾篓垃圾、换新的垃圾袋；清洗大、小便器；用拖把干净地面对面；喷洒空气清新剂或香水，小便器内放置香球等）；每月1次用毛巾擦灯具；每月2次对共用卫生间进行消杀。室内无明显异味、臭味；地面基本洁净，每10平方米烟头、红屑不超过个5个；墙面无蜘蛛网和积灰，便器洁净无黄渍。</w:t>
      </w:r>
    </w:p>
    <w:p w14:paraId="28F62514">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1．3．4道路保洁</w:t>
      </w:r>
    </w:p>
    <w:p w14:paraId="6D854672">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每日清扫2次，清扫结束地面无垃圾、杂物，无卫生死角，目视基本干净，无垃圾、杂物、浮砂，无污迹，无积水、积雪，无明显痰迹、烟头；目视灯具、灯座、灯盖、灯罩无积灰。</w:t>
      </w:r>
    </w:p>
    <w:p w14:paraId="69FF45C0">
      <w:pPr>
        <w:tabs>
          <w:tab w:val="left" w:pos="234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1．3．5标识、宣传牌、雕塑、信报箱保洁</w:t>
      </w:r>
    </w:p>
    <w:p w14:paraId="17A87CA7">
      <w:pPr>
        <w:tabs>
          <w:tab w:val="left" w:pos="2340"/>
          <w:tab w:val="left" w:pos="5108"/>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标识、宣传牌每周擦试2次，雕塑每季保洁2次。清洁后检查无污渍、无积灰，不损伤被清洁物；每半月控试1次业主（使用人）信报箱，擦拭后信报箱干净无灰尘、无污迹。</w:t>
      </w:r>
    </w:p>
    <w:p w14:paraId="6F116E68">
      <w:pPr>
        <w:tabs>
          <w:tab w:val="left" w:pos="2340"/>
          <w:tab w:val="left" w:pos="5108"/>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1．3．6绿化带保洁</w:t>
      </w:r>
    </w:p>
    <w:p w14:paraId="781DEF09">
      <w:pPr>
        <w:tabs>
          <w:tab w:val="left" w:pos="2340"/>
          <w:tab w:val="left" w:pos="5108"/>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每日清扫2次绿化带、草地上垃圾，捡2次草地、绿化带上的烟头、棉签等小杂物，目视基本干净、无污渍、无垃圾，花坛表面基本洁净，地面垃圾滞留地面不超过2小时。</w:t>
      </w:r>
    </w:p>
    <w:p w14:paraId="235A8D53">
      <w:pPr>
        <w:tabs>
          <w:tab w:val="left" w:pos="2340"/>
          <w:tab w:val="left" w:pos="5108"/>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1．3．7休闲、娱乐、健身设施保洁</w:t>
      </w:r>
    </w:p>
    <w:p w14:paraId="425EF049">
      <w:pPr>
        <w:tabs>
          <w:tab w:val="left" w:pos="2340"/>
          <w:tab w:val="left" w:pos="5108"/>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每天保洁1次。（擦拭表面灰尘、用清洁剂擦拭污渍用清水冲洗衣干净用抹布抹干、清扫垃圾、擦拭座椅）；设施表面基本干净，无灰尘污渍、锈迹，目视游乐场内及其周围无果皮纸屑等垃圾，及时发现设施、设备脱漆、断裂及其他安全隐患并报告处理。</w:t>
      </w:r>
    </w:p>
    <w:p w14:paraId="25A6E5D0">
      <w:pPr>
        <w:tabs>
          <w:tab w:val="left" w:pos="2340"/>
          <w:tab w:val="left" w:pos="5108"/>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1．3．8门卫、岗亭、监控探头保洁</w:t>
      </w:r>
    </w:p>
    <w:p w14:paraId="249FE0C7">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门卫、岗亭每日清洁1次，内外地面拖洗干净，擦洗干净内外门窗玻璃、窗台及其他台面，室内外墙面每月清洁1次，发现不卫生随时处理，保持墙、地面干净利、光亮、整洁，工、器具排放整齐、有序；监控探头每2周擦拭一次；擦拭不得刮伤镜片，清洁后镜头光亮洁净，探头外表干净无灰尘。</w:t>
      </w:r>
    </w:p>
    <w:p w14:paraId="663A62C8">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1．3．9垃圾桶、果皮箱</w:t>
      </w:r>
    </w:p>
    <w:p w14:paraId="2AAB8F11">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垃圾桶、果皮箱：每日清2次；每周抹布抹一次；垃圾桶、果皮箱周围地面无散落垃圾、无污水、无明显污迹；垃圾桶、果皮箱无明显污迹、油污。</w:t>
      </w:r>
    </w:p>
    <w:p w14:paraId="14AE8D5A">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1．3．10垃圾收集与处理</w:t>
      </w:r>
    </w:p>
    <w:p w14:paraId="54507FD7">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生活垃圾及业主（使用人）自己送至楼下固定位置，由清扫人员每日收集生活垃圾2次；垃圾桶、果皮箱垃圾，每日收集垃圾2次；泥沙等粉尘性垃圾在运送途中应加以遮挡，防止垃圾掉落飞扬引起二次污染；废弃涂料、油漆等流质性垃圾在运送途中注意容器的封闭，防止溢流污染路面。</w:t>
      </w:r>
    </w:p>
    <w:p w14:paraId="246C105D">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1、3、11卫生消杀</w:t>
      </w:r>
    </w:p>
    <w:p w14:paraId="2E5F30AD">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针对灭蚊、蝇、蟑螂、灭鼠的实际需要和季节特点制定具体计划；灭鼠：春夏季每月灭鼠1次，秋冬季每季灭鼠1次；标准：检查仓库、地下室，目视无明显蚊虫在飞；检查办公室、食堂，目视无明显苍蝇在飞；抽查楼道、业主（使用人）家无明显鼠迹，用布粉法检查老鼠密度，不超过5%。</w:t>
      </w:r>
    </w:p>
    <w:p w14:paraId="5694BEA8">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1．4园林绿化养护与管理</w:t>
      </w:r>
    </w:p>
    <w:p w14:paraId="61989158">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草坪斑秃不明显，保存率98%以上，要有补种计划，补种率不低于2% 。</w:t>
      </w:r>
    </w:p>
    <w:p w14:paraId="1492305D">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整块草地没有已开花杂草，整块草地没有明显阔叶杂草；</w:t>
      </w:r>
    </w:p>
    <w:p w14:paraId="13DCE9C6">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无大面积病虫害，并能及时防治；</w:t>
      </w:r>
    </w:p>
    <w:p w14:paraId="6D20CA69">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绿期250日以上，草坪平整或坡度平缓，留茬高度控制在60mm以下；</w:t>
      </w:r>
    </w:p>
    <w:p w14:paraId="0429BF52">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绿地基本整洁，无明显的堆物扒料、搭棚、侵占等现象；无较严重人为破坏，无绿化生产垃圾，对人为损坏和违法行为能及时处理；</w:t>
      </w:r>
    </w:p>
    <w:p w14:paraId="23733C7F">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根据草坪种类、季节、生长周期、天气、土质等情况实施淋水、施肥、修剪和灭虫。</w:t>
      </w:r>
    </w:p>
    <w:p w14:paraId="12461C3F">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1．4．2园林树木</w:t>
      </w:r>
    </w:p>
    <w:p w14:paraId="5BD1BF60">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生长长势一般，生长与该树种、该树木的平均年生长量相当；90%以上树木树冠基本完整，有一定绿化效果，没有死树和明显枯枝死杈；</w:t>
      </w:r>
    </w:p>
    <w:p w14:paraId="241D374F">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枝干无明显的机械损伤，叶色基本正常，严重黄叶、焦叶、卷叶以及有虫屎、虫网、积尘叶的柱树在10%以下；乔木根部无20公分高以上荫蘖枝，无过长杂草、杂物。</w:t>
      </w:r>
    </w:p>
    <w:p w14:paraId="242C16BC">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缺株在4%以下；</w:t>
      </w:r>
    </w:p>
    <w:p w14:paraId="0496B28C">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管理期间树林基本未出现钉栓、捆绑现象；</w:t>
      </w:r>
    </w:p>
    <w:p w14:paraId="33BD2723">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绿篱生长造型基本正常，整形修剪表面棱角基本划齐，叶色基本正常，无明显的死株，有虫株在12%以下；</w:t>
      </w:r>
    </w:p>
    <w:p w14:paraId="3363D801">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蛀干害虫和介壳虫危害株数在6%以下，食叶害虫咬食的叶片每株在25%以下。</w:t>
      </w:r>
    </w:p>
    <w:p w14:paraId="3E3E0F6D">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1．4．3花坛</w:t>
      </w:r>
    </w:p>
    <w:p w14:paraId="077A804C">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花卉长势良好；</w:t>
      </w:r>
    </w:p>
    <w:p w14:paraId="542D06AC">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在花坛开花期间，每周剪残枝、花5-7次，保持清晰的图案和适宜的高度；</w:t>
      </w:r>
    </w:p>
    <w:p w14:paraId="31B75630">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草本宿根花卉生长基本正常，缺株率在15%以下；</w:t>
      </w:r>
    </w:p>
    <w:p w14:paraId="3F30B02A">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定期防治病虫害，发生病虫害及人为损害后能及时防治，泥面不开裂，花木不缺水枯萎现象；</w:t>
      </w:r>
    </w:p>
    <w:p w14:paraId="741A9FCF">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叶色、大小一般，有黄叶、落叶的株数在10%以下。</w:t>
      </w:r>
    </w:p>
    <w:p w14:paraId="4C613865">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1．5安全防范</w:t>
      </w:r>
    </w:p>
    <w:p w14:paraId="43839207">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1．5．1人员组织</w:t>
      </w:r>
    </w:p>
    <w:p w14:paraId="7A74959B">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专职安全护卫人员，身体健康，责任心强，工作认真负责；</w:t>
      </w:r>
    </w:p>
    <w:p w14:paraId="199BCC5F">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接受过相关的安全护卫知识与技能岗位培训，能胜任小区安全护卫工作，对小区日常规护卫工事项做出正确反应，并定期进行安全防范学习，增强安全防范能力；</w:t>
      </w:r>
    </w:p>
    <w:p w14:paraId="1C862D6A">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思想品质良好，作风正派，热爱安全护卫工作，无犯罪记录；</w:t>
      </w:r>
    </w:p>
    <w:p w14:paraId="5C077008">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当班时应佩戴明显标志，穿戴统一制服，制服干净、整齐；</w:t>
      </w:r>
    </w:p>
    <w:p w14:paraId="0194B580">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配备对讲装置和其他必备的安全护卫工具；</w:t>
      </w:r>
    </w:p>
    <w:p w14:paraId="2AF71567">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交接班制度完善，并有工作及交接班记录。</w:t>
      </w:r>
    </w:p>
    <w:p w14:paraId="765B2B3C">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1．5．2门卫</w:t>
      </w:r>
    </w:p>
    <w:p w14:paraId="4B2D8569">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主出入口门卫房、监控室24小时有人值班看守，次出入口每日6：00-22：00有1人值守；按照委托合同要求进行进出车辆管理、访客登记，谢绝业主拒绝访问人员和未经业主委员会批准的商贩入内，大件物品搬出实行登记，实施交通指挥与疏导等工作。</w:t>
      </w:r>
    </w:p>
    <w:p w14:paraId="330B337C">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1．5．3巡逻</w:t>
      </w:r>
    </w:p>
    <w:p w14:paraId="03360128">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每2小时巡查1次，并有巡逻记录，重点部位、重点时间以及特殊情况加强巡逻；及时发现和处理不安全隐患；接受业主（使用人）投诉和求助；回答用户的询问；在遇到突发事件时，及时报告警方与管理处，必要进采取正当防卫，防止事态扩大，协助保证护现场和证据；安全巡逻有记录有检查。</w:t>
      </w:r>
    </w:p>
    <w:p w14:paraId="66CB1112">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1．5．4紧急事故反应</w:t>
      </w:r>
    </w:p>
    <w:p w14:paraId="7CBD366D">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制定紧急事故处理预案，至少包括：火灾、爆炸、地震、炸弹恐吓，安全疏散以及电梯应急等；</w:t>
      </w:r>
    </w:p>
    <w:p w14:paraId="375F6392">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有紧急事件救护组织，并始终处于紧急事故反应状态；</w:t>
      </w:r>
    </w:p>
    <w:p w14:paraId="511FF448">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书面描述紧急事故救护组织职责，并让每位成员了解，周期性地进行反应训练；</w:t>
      </w:r>
    </w:p>
    <w:p w14:paraId="7D3A3C2D">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高层住宅按消防要求组织进行疏散演习；</w:t>
      </w:r>
    </w:p>
    <w:p w14:paraId="2224A3FC">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对紧急事故做出快速、正确的反应；尽可能减少破坏和损失程度；</w:t>
      </w:r>
    </w:p>
    <w:p w14:paraId="48D30DC5">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按照业主或业主委员会的委托组织恢复生活秩序，如：帮助恢复电力供应、抢救财产等。</w:t>
      </w:r>
    </w:p>
    <w:p w14:paraId="00976E00">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1．5．5其他防范措施</w:t>
      </w:r>
    </w:p>
    <w:p w14:paraId="3A018331">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设有业主（使用人）求助与报警电话，24小时有人值守；</w:t>
      </w:r>
    </w:p>
    <w:p w14:paraId="17B4ADAA">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保证监控头及监控系统状态良好、工作正常，定期进行检查与维护。发现或接到异常信息及时通知就近保安人员进行处理，形成异常情况处理记录；有录制信息要求时负责信息的录制与保管。</w:t>
      </w:r>
    </w:p>
    <w:p w14:paraId="36D2EDED">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涉及人身安全处，设有明显标志并有防措施；</w:t>
      </w:r>
    </w:p>
    <w:p w14:paraId="6E241341">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协助有关部门维持小区正常生活秩序，防止不安全事件发生；</w:t>
      </w:r>
    </w:p>
    <w:p w14:paraId="01944075">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对小区内外围边界、角落、车库、道路的明设施加强维护，保持必要的照明；</w:t>
      </w:r>
    </w:p>
    <w:p w14:paraId="43E0EC01">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建立空置房屋、设备室、垃圾房、杂物房巡查、钥匙管理及登记备案制度。</w:t>
      </w:r>
    </w:p>
    <w:p w14:paraId="0E689CDD">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1．5．6交通、车辆管理</w:t>
      </w:r>
    </w:p>
    <w:p w14:paraId="3DA439D1">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有较为完善的车辆管理制度；</w:t>
      </w:r>
    </w:p>
    <w:p w14:paraId="7C95B333">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小区设置明显的交通标志，有专职人员巡视和引导车辆有序停放；</w:t>
      </w:r>
    </w:p>
    <w:p w14:paraId="0C7725AE">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维持交通秩序，发现车辆未上锁及乱停乱放行行忠告或纠正，发现偷盗车辆、破坏交通设施等现象及时制止；设置露天停车场经过业主委员会批准并经过公安交管部门审批，符合规划要求。</w:t>
      </w:r>
    </w:p>
    <w:p w14:paraId="3509E79D">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地下停车场24小时有人值守，车辆进场、离场有检查、记录；管理人员责任心强，认真负责；督促进入车辆按指定车位停放；每1小时巡视一次，发现异常及时处理并通知车主。停车场具有交管部门核发的停车场使用证，按照物价部门核发的收费标准收费；按照特别约定履行车辆保管责任。</w:t>
      </w:r>
    </w:p>
    <w:p w14:paraId="683CA59A">
      <w:pPr>
        <w:spacing w:line="440" w:lineRule="exact"/>
        <w:ind w:firstLine="482" w:firstLineChars="200"/>
        <w:rPr>
          <w:rFonts w:ascii="宋体" w:hAnsi="宋体" w:cs="宋体"/>
          <w:color w:val="auto"/>
          <w:sz w:val="25"/>
          <w:szCs w:val="25"/>
          <w:highlight w:val="none"/>
        </w:rPr>
      </w:pPr>
      <w:r>
        <w:rPr>
          <w:rFonts w:hint="eastAsia" w:ascii="宋体" w:hAnsi="宋体" w:cs="宋体"/>
          <w:b/>
          <w:color w:val="auto"/>
          <w:kern w:val="0"/>
          <w:sz w:val="24"/>
          <w:highlight w:val="none"/>
        </w:rPr>
        <w:t>人防地下室的车位管理按相关文件执行，物业公司不得私自租售。</w:t>
      </w:r>
    </w:p>
    <w:p w14:paraId="27709428">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1．5．7消防</w:t>
      </w:r>
    </w:p>
    <w:p w14:paraId="5A6387CE">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执行《中华人民共和国消防条例》、《中华人民共和国消防条例实施细则》和其他有关消防法规；</w:t>
      </w:r>
    </w:p>
    <w:p w14:paraId="6B0FFC16">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健全消防组织，建立消防责任制；</w:t>
      </w:r>
    </w:p>
    <w:p w14:paraId="3DDA38B6">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定期进行消训练，保证有关人员掌握基本消防技能；熟练掌握防火、灭火知识和消防器材的使用方法，提高自防自救的能力。</w:t>
      </w:r>
    </w:p>
    <w:p w14:paraId="498BB10A">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根据防火、灭火的需要，配置相应种类、数量的消防器材、设备和设施；保持消防通道畅通，禁止在消防通道设置路障；</w:t>
      </w:r>
    </w:p>
    <w:p w14:paraId="11DF8851">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制定防火安全管理办法，指定专人维护、管理消防器材、设备和设施，保持完整好用；</w:t>
      </w:r>
    </w:p>
    <w:p w14:paraId="43188B32">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发现火警有义务迅速向消防队报警，并马上派人前往报警地点，迅速采取措施，组织力量救火，抢救生命和物资，派人接应消防车，服从火场总指挥员的统一指挥；</w:t>
      </w:r>
    </w:p>
    <w:p w14:paraId="7F3282E2">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每月1次巡查消防栓、箱、烟感头、喷淋头、消防水阀、消防标志等消防设备是否完好、齐全，并及时给予维修；发现设备故障时，必须及时修理或通知厂方处理，保证设备24小时正常运转；</w:t>
      </w:r>
    </w:p>
    <w:p w14:paraId="15486DFC">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每日检测1次喷淋管网水压，发现压力不够，马上检修排除故障；</w:t>
      </w:r>
    </w:p>
    <w:p w14:paraId="17FF01E8">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每年模拟火灾操作1次，以熟翻操作和检查消防监控设备；</w:t>
      </w:r>
    </w:p>
    <w:p w14:paraId="49838303">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消防监控室保持清洁，每周至少保洁1次，要求地面无积灰，监控箱表面无污渍；</w:t>
      </w:r>
    </w:p>
    <w:p w14:paraId="25B2EA28">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每日填写工作记录，建档备案。</w:t>
      </w:r>
    </w:p>
    <w:p w14:paraId="563DF61C">
      <w:pPr>
        <w:tabs>
          <w:tab w:val="left" w:pos="2340"/>
          <w:tab w:val="left" w:pos="4570"/>
        </w:tabs>
        <w:spacing w:line="440" w:lineRule="exact"/>
        <w:ind w:firstLine="500" w:firstLineChars="200"/>
        <w:rPr>
          <w:color w:val="auto"/>
          <w:highlight w:val="none"/>
        </w:rPr>
      </w:pPr>
      <w:r>
        <w:rPr>
          <w:rFonts w:hint="eastAsia" w:ascii="宋体" w:hAnsi="宋体" w:cs="宋体"/>
          <w:color w:val="auto"/>
          <w:sz w:val="25"/>
          <w:szCs w:val="25"/>
          <w:highlight w:val="none"/>
        </w:rPr>
        <w:t>维保设备包括</w:t>
      </w:r>
      <w:r>
        <w:rPr>
          <w:rFonts w:hint="eastAsia" w:ascii="宋体" w:hAnsi="宋体" w:cs="宋体"/>
          <w:color w:val="auto"/>
          <w:sz w:val="25"/>
          <w:szCs w:val="25"/>
          <w:highlight w:val="none"/>
          <w:lang w:val="en-US" w:eastAsia="zh-CN"/>
        </w:rPr>
        <w:t>但不限于</w:t>
      </w:r>
      <w:r>
        <w:rPr>
          <w:rFonts w:hint="eastAsia" w:ascii="宋体" w:hAnsi="宋体" w:cs="宋体"/>
          <w:color w:val="auto"/>
          <w:sz w:val="25"/>
          <w:szCs w:val="25"/>
          <w:highlight w:val="none"/>
        </w:rPr>
        <w:t>：（1）消防供配电设施；（2）火灾自动报警系统（3）消防供水设施；（4）消火栓（消防炮）灭火系统；（5）自动喷水灭火系统；（6）可燃气体探测报警系统；（7）气体灭火系统；（8）防排烟系统；（9）火灾应急照明和疏散指示标志；（10）应急广播系统；（11）消防专用电话；（12）防火分隔设施；（13）消防电梯；（14）电气火灾监控系统；（15）灭火器；（16）其他建筑消防设施；（17）生活水泵，污水泵的设备维保。</w:t>
      </w:r>
    </w:p>
    <w:p w14:paraId="2B77777D">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1.6电梯运行与管理（发现运行问题，及时通知专业维保单位并督促维保到位）</w:t>
      </w:r>
    </w:p>
    <w:p w14:paraId="0E5F46F1">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1.6.1安装、维修、保养人员和电梯司机均应持有关行政主管部门核发的特种作业操作证上岗，并定期参加复审；建立健全电梯管理制度，至少包括：《岗位安全操作规程》、《维修保养制度》、《岗位责任制度》、《交接班制度》、《设备档案管理制度》、《安全使用管理制度》和详细的《维修保养计划》。</w:t>
      </w:r>
    </w:p>
    <w:p w14:paraId="13134FC9">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1.6.2安全设施完好、齐全，通风、照明等附属设施完好；在电梯轿厢内明显位置张贴《电梯安全使用许可证》，注明：注册登记及检验合格标志、电梯管理部门、管理人员、安装企业、维修保养企业以及相应的应急报警、投诉电话号码。 </w:t>
      </w:r>
    </w:p>
    <w:p w14:paraId="11A11230">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1.6.3与持有关行政主管部门核发的安全认可证书的企业签订维修保养、大中修更新改造合同，并明确被委托企业的责任。如需自行维护保养电梯，应按电梯数量及工作状况配备足够的维护保养人员，其管理部门应将电梯管理人员、维护保养人员、联系电话及有关资料报送设备所在地有关行政主管部门，经核准后，方可自行维护保养。 </w:t>
      </w:r>
    </w:p>
    <w:p w14:paraId="4C5B1A2C">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1.6.4电梯及其安全设施每周不少于1次，进行清洁、润滑、调整和检查等例行保养；每年对小区所有电梯进行1次全面综合检查、清洗、润滑、修理、调整和测试；年度检测由维修保养企业的注册安全检测员实施并签署检测报告；每台电梯每隔2年必须进行1次负荷校调试验，负荷校调试验由注册安全检测员实施并签署试验报告。试验报告副本应送有关行政主管部门备案。 </w:t>
      </w:r>
    </w:p>
    <w:p w14:paraId="1C9C0223">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1.6.5 保持电梯机房清洁，每周1次清扫地面和擦拭控制柜、主机表面，地面无积灰，控制柜、主机表面无污渍；保持电梯机房消防设施完好；每年检查2次电梯井底，清除垃圾杂物。 </w:t>
      </w:r>
    </w:p>
    <w:p w14:paraId="19FCDF8F">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1.6.6 确定合理的电梯运行时间，随时监督电梯运行状况，加强日常维修保养，适时降温、通风、防雨，做好运行服务，经常巡查楼层，防止地面水流入电梯井，值班监督，防止违章使用电梯；记录每日电梯运行情况，建档备案。 </w:t>
      </w:r>
    </w:p>
    <w:p w14:paraId="1FB45AF2">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1.6.7 电梯维护保养提前一天通知业主（使用人），并尽可能减少对业主（使用人）正常生活的影响。建立电梯运行档案，记录电梯运行情况和维修保养工作内容；住宅电梯年故障率低于7%. </w:t>
      </w:r>
    </w:p>
    <w:p w14:paraId="75AC549E">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1.6.8 制定紧急救援方案和操作程序，在接到报警信号45分钟设法解救乘客、排除设备故障。</w:t>
      </w:r>
    </w:p>
    <w:p w14:paraId="5F665EE3">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1.6.9 使用有关行政主管部门统一制定的《起重机械安全技术档案（电梯类）》，对电梯逐台建档、建卡、注册登记。电梯技术档案资料应包括：《起重机械安全技术档案（电梯类）》和《起重机械登记卡片（电梯类）》；产品质量合格证明；大中修更新改造后的电梯应有质量验收证明（或质量验收报告）；更改部分须有变更设计的证明文件；电梯安装验收证明和报告；运转、保养、维修记录；定期安全检查和事故记录；电梯随机文件，至少包括：井道及机房土建图、电气控制原理图、电气敷设图、电器元件代号说明书、安装调试说明书、使用维护说明书、出厂明细表（装箱单）等技术资料。 </w:t>
      </w:r>
    </w:p>
    <w:p w14:paraId="39668E8C">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1.6.10 按照国家有关制度组织办理电梯年检和电梯准用证。</w:t>
      </w:r>
    </w:p>
    <w:p w14:paraId="41184576">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1.7档案资料</w:t>
      </w:r>
    </w:p>
    <w:p w14:paraId="4D6FB428">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档案资料齐全完整；</w:t>
      </w:r>
    </w:p>
    <w:p w14:paraId="78740951">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分类成册，管理完善，合理分类，查阅方便；</w:t>
      </w:r>
    </w:p>
    <w:p w14:paraId="3610C6CD">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及时变更登记，账物相符。</w:t>
      </w:r>
    </w:p>
    <w:p w14:paraId="59C51BAF">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1.8社区文化</w:t>
      </w:r>
    </w:p>
    <w:p w14:paraId="3A3E1F56">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物业公司每月组织小区物业管理共建主题（宣传）活动不少于1次；每季度组织业主代表座谈会等物业与业主互动活动不少于1次；节假日（元旦、春节、劳动节、国庆节）有专题布置；每半年组织社区文体活动不少于1次；年终必须组织召开小区物业管理汇报会1次。</w:t>
      </w:r>
    </w:p>
    <w:p w14:paraId="193F2D8B">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2专项服务</w:t>
      </w:r>
    </w:p>
    <w:p w14:paraId="307E8E9E">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业主或业主委员会与物业管理企业在物业管理公共服务委托合同中未约定，根据全体业主的需要、小区条件及物业管理企业的能力，经双方协商，物业管理企业向全体业主提供娱乐、健身、代缴费等属于上述公共服务内容之处的服务。</w:t>
      </w:r>
    </w:p>
    <w:p w14:paraId="06D9AF70">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专项服务内容、标准、费用等由物业管理企业与业主或业主委员会、本着自愿、公平、等价有偿、诚实信用的原则达成服务协议，可以作为物业管理公共服务合同的附件，也可以另行单独签订。</w:t>
      </w:r>
    </w:p>
    <w:p w14:paraId="5ECE2CDA">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3、物约服务</w:t>
      </w:r>
    </w:p>
    <w:p w14:paraId="0C4E690F">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业主或业主委员会与物业管理企业在物业管理公共服务委托合中未约定，物业管理企业为满足部分业主（使用人）物别需要，经双方物别约定，有偿提供相关服务的活动，如老年、伤残病人的护理，接送子女上学等。</w:t>
      </w:r>
    </w:p>
    <w:p w14:paraId="63C579FE">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物约服务内容、标准、费用等由物业管理企业和需要物约服务的业主（使用人）双方当事人本着自愿、公平、等价有偿、诚实信用的原则约定。</w:t>
      </w:r>
    </w:p>
    <w:p w14:paraId="5A93F116">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二、物业管理服务人员配备</w:t>
      </w:r>
    </w:p>
    <w:p w14:paraId="48CB86ED">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1、小区物业管理实行项目经理负责制，项目经理对</w:t>
      </w:r>
      <w:r>
        <w:rPr>
          <w:rFonts w:hint="eastAsia" w:ascii="宋体" w:hAnsi="宋体" w:cs="宋体"/>
          <w:color w:val="auto"/>
          <w:sz w:val="25"/>
          <w:szCs w:val="25"/>
          <w:highlight w:val="none"/>
          <w:lang w:val="en-US" w:eastAsia="zh-CN"/>
        </w:rPr>
        <w:t>小区各项</w:t>
      </w:r>
      <w:r>
        <w:rPr>
          <w:rFonts w:hint="eastAsia" w:ascii="宋体" w:hAnsi="宋体" w:cs="宋体"/>
          <w:color w:val="auto"/>
          <w:sz w:val="25"/>
          <w:szCs w:val="25"/>
          <w:highlight w:val="none"/>
        </w:rPr>
        <w:t>工作全权负责，分为行管、</w:t>
      </w:r>
      <w:r>
        <w:rPr>
          <w:rFonts w:hint="eastAsia" w:ascii="宋体" w:hAnsi="宋体" w:cs="宋体"/>
          <w:color w:val="auto"/>
          <w:sz w:val="25"/>
          <w:szCs w:val="25"/>
          <w:highlight w:val="none"/>
          <w:lang w:val="en-US" w:eastAsia="zh-CN"/>
        </w:rPr>
        <w:t>工程维修</w:t>
      </w:r>
      <w:r>
        <w:rPr>
          <w:rFonts w:hint="eastAsia" w:ascii="宋体" w:hAnsi="宋体" w:cs="宋体"/>
          <w:color w:val="auto"/>
          <w:sz w:val="25"/>
          <w:szCs w:val="25"/>
          <w:highlight w:val="none"/>
        </w:rPr>
        <w:t>、安保、保洁（含绿化）4个职能部门；</w:t>
      </w:r>
    </w:p>
    <w:p w14:paraId="2E975E62">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2、物业公司工作人员要遵纪守法、热爱本职工作、身体健康，有一定的工作经验，物业公司负责招聘、培训和管理；</w:t>
      </w:r>
    </w:p>
    <w:p w14:paraId="761FA528">
      <w:pPr>
        <w:tabs>
          <w:tab w:val="left" w:pos="2340"/>
          <w:tab w:val="left" w:pos="4570"/>
        </w:tabs>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3、物业公司为本项目配备的各类人员必须持有相应专业职业资格或上岗证书（新招聘录用人员必须抓紧与物业管理行政主管部门衔接上岗培训事宜）；</w:t>
      </w:r>
    </w:p>
    <w:p w14:paraId="3F6664B9">
      <w:pPr>
        <w:tabs>
          <w:tab w:val="left" w:pos="2340"/>
          <w:tab w:val="left" w:pos="4570"/>
        </w:tabs>
        <w:spacing w:line="440" w:lineRule="exact"/>
        <w:ind w:firstLine="500" w:firstLineChars="200"/>
        <w:rPr>
          <w:color w:val="auto"/>
          <w:highlight w:val="none"/>
        </w:rPr>
      </w:pPr>
      <w:r>
        <w:rPr>
          <w:rFonts w:hint="eastAsia" w:ascii="宋体" w:hAnsi="宋体" w:cs="宋体"/>
          <w:color w:val="auto"/>
          <w:sz w:val="25"/>
          <w:szCs w:val="25"/>
          <w:highlight w:val="none"/>
        </w:rPr>
        <w:t>4、为本项目配备的不超过45周岁的物业秩序维护员占物业秩序维护员总人数的60%以上，持证上岗，配备45周岁以上物业秩序维护员必须经招标人同意。</w:t>
      </w:r>
    </w:p>
    <w:tbl>
      <w:tblPr>
        <w:tblStyle w:val="2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354"/>
        <w:gridCol w:w="7443"/>
      </w:tblGrid>
      <w:tr w14:paraId="7681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711" w:type="dxa"/>
            <w:gridSpan w:val="3"/>
            <w:vAlign w:val="center"/>
          </w:tcPr>
          <w:p w14:paraId="3044FBA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人员基本配置要求</w:t>
            </w:r>
          </w:p>
        </w:tc>
      </w:tr>
      <w:tr w14:paraId="4CC1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14" w:type="dxa"/>
            <w:vAlign w:val="center"/>
          </w:tcPr>
          <w:p w14:paraId="6C3AC02C">
            <w:pPr>
              <w:pStyle w:val="13"/>
              <w:spacing w:line="360" w:lineRule="auto"/>
              <w:rPr>
                <w:rFonts w:hAnsi="宋体" w:cs="宋体"/>
                <w:bCs/>
                <w:color w:val="auto"/>
                <w:sz w:val="24"/>
                <w:szCs w:val="24"/>
                <w:highlight w:val="none"/>
              </w:rPr>
            </w:pPr>
            <w:r>
              <w:rPr>
                <w:rFonts w:hint="eastAsia" w:hAnsi="宋体" w:cs="宋体"/>
                <w:bCs/>
                <w:color w:val="auto"/>
                <w:sz w:val="24"/>
                <w:szCs w:val="24"/>
                <w:highlight w:val="none"/>
              </w:rPr>
              <w:t>序号</w:t>
            </w:r>
          </w:p>
        </w:tc>
        <w:tc>
          <w:tcPr>
            <w:tcW w:w="1354" w:type="dxa"/>
            <w:vAlign w:val="center"/>
          </w:tcPr>
          <w:p w14:paraId="21D2BE7F">
            <w:pPr>
              <w:pStyle w:val="13"/>
              <w:spacing w:line="360" w:lineRule="auto"/>
              <w:rPr>
                <w:rFonts w:hAnsi="宋体" w:cs="宋体"/>
                <w:bCs/>
                <w:color w:val="auto"/>
                <w:sz w:val="24"/>
                <w:szCs w:val="24"/>
                <w:highlight w:val="none"/>
              </w:rPr>
            </w:pPr>
            <w:r>
              <w:rPr>
                <w:rFonts w:hint="eastAsia" w:hAnsi="宋体" w:cs="宋体"/>
                <w:bCs/>
                <w:color w:val="auto"/>
                <w:sz w:val="24"/>
                <w:szCs w:val="24"/>
                <w:highlight w:val="none"/>
              </w:rPr>
              <w:t>职位</w:t>
            </w:r>
          </w:p>
        </w:tc>
        <w:tc>
          <w:tcPr>
            <w:tcW w:w="7443" w:type="dxa"/>
            <w:vAlign w:val="center"/>
          </w:tcPr>
          <w:p w14:paraId="3C151D66">
            <w:pPr>
              <w:spacing w:line="360" w:lineRule="auto"/>
              <w:rPr>
                <w:rFonts w:ascii="宋体" w:hAnsi="宋体" w:cs="宋体"/>
                <w:color w:val="auto"/>
                <w:sz w:val="24"/>
                <w:highlight w:val="none"/>
              </w:rPr>
            </w:pPr>
            <w:r>
              <w:rPr>
                <w:rFonts w:hint="eastAsia" w:ascii="宋体" w:hAnsi="宋体" w:cs="宋体"/>
                <w:color w:val="auto"/>
                <w:sz w:val="24"/>
                <w:highlight w:val="none"/>
              </w:rPr>
              <w:t>人员要求</w:t>
            </w:r>
          </w:p>
        </w:tc>
      </w:tr>
      <w:tr w14:paraId="63093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14" w:type="dxa"/>
            <w:vAlign w:val="center"/>
          </w:tcPr>
          <w:p w14:paraId="05200B25">
            <w:pPr>
              <w:pStyle w:val="13"/>
              <w:spacing w:line="360" w:lineRule="auto"/>
              <w:rPr>
                <w:rFonts w:hAnsi="宋体" w:cs="宋体"/>
                <w:bCs/>
                <w:color w:val="auto"/>
                <w:sz w:val="24"/>
                <w:szCs w:val="24"/>
                <w:highlight w:val="none"/>
              </w:rPr>
            </w:pPr>
            <w:r>
              <w:rPr>
                <w:rFonts w:hint="eastAsia" w:hAnsi="宋体" w:cs="宋体"/>
                <w:bCs/>
                <w:color w:val="auto"/>
                <w:sz w:val="24"/>
                <w:szCs w:val="24"/>
                <w:highlight w:val="none"/>
              </w:rPr>
              <w:t>1</w:t>
            </w:r>
          </w:p>
        </w:tc>
        <w:tc>
          <w:tcPr>
            <w:tcW w:w="1354" w:type="dxa"/>
            <w:vAlign w:val="center"/>
          </w:tcPr>
          <w:p w14:paraId="620555D7">
            <w:pPr>
              <w:pStyle w:val="13"/>
              <w:spacing w:line="360" w:lineRule="auto"/>
              <w:rPr>
                <w:rFonts w:hAnsi="宋体" w:cs="宋体"/>
                <w:color w:val="auto"/>
                <w:sz w:val="24"/>
                <w:szCs w:val="24"/>
                <w:highlight w:val="none"/>
              </w:rPr>
            </w:pPr>
            <w:r>
              <w:rPr>
                <w:rFonts w:hint="eastAsia" w:hAnsi="宋体" w:cs="宋体"/>
                <w:bCs/>
                <w:color w:val="auto"/>
                <w:sz w:val="24"/>
                <w:szCs w:val="24"/>
                <w:highlight w:val="none"/>
              </w:rPr>
              <w:t>项目经理</w:t>
            </w:r>
          </w:p>
        </w:tc>
        <w:tc>
          <w:tcPr>
            <w:tcW w:w="7443" w:type="dxa"/>
            <w:vAlign w:val="center"/>
          </w:tcPr>
          <w:p w14:paraId="07900EED">
            <w:pPr>
              <w:pStyle w:val="13"/>
              <w:spacing w:line="360" w:lineRule="auto"/>
              <w:rPr>
                <w:rFonts w:hAnsi="宋体" w:cs="宋体"/>
                <w:bCs/>
                <w:color w:val="auto"/>
                <w:sz w:val="24"/>
                <w:szCs w:val="24"/>
                <w:highlight w:val="none"/>
              </w:rPr>
            </w:pPr>
            <w:r>
              <w:rPr>
                <w:rFonts w:hint="eastAsia" w:hAnsi="宋体" w:cs="宋体"/>
                <w:b/>
                <w:color w:val="auto"/>
                <w:sz w:val="24"/>
                <w:szCs w:val="24"/>
                <w:highlight w:val="none"/>
              </w:rPr>
              <w:t>1人</w:t>
            </w:r>
            <w:r>
              <w:rPr>
                <w:rFonts w:hint="eastAsia" w:hAnsi="宋体" w:cs="宋体"/>
                <w:bCs/>
                <w:color w:val="auto"/>
                <w:sz w:val="24"/>
                <w:szCs w:val="24"/>
                <w:highlight w:val="none"/>
              </w:rPr>
              <w:t>（</w:t>
            </w:r>
            <w:r>
              <w:rPr>
                <w:rFonts w:hint="eastAsia" w:hAnsi="宋体" w:cs="宋体"/>
                <w:bCs/>
                <w:color w:val="auto"/>
                <w:sz w:val="24"/>
                <w:szCs w:val="24"/>
                <w:highlight w:val="none"/>
                <w:lang w:val="en-US" w:eastAsia="zh-CN"/>
              </w:rPr>
              <w:t>负责</w:t>
            </w:r>
            <w:r>
              <w:rPr>
                <w:rFonts w:hint="eastAsia" w:hAnsi="宋体" w:cs="宋体"/>
                <w:bCs/>
                <w:color w:val="auto"/>
                <w:sz w:val="24"/>
                <w:szCs w:val="24"/>
                <w:highlight w:val="none"/>
              </w:rPr>
              <w:t>管理处员工的统一指挥、协调、培训、处理日常管理事务和紧急事项。）</w:t>
            </w:r>
          </w:p>
        </w:tc>
      </w:tr>
      <w:tr w14:paraId="6108F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914" w:type="dxa"/>
            <w:vAlign w:val="center"/>
          </w:tcPr>
          <w:p w14:paraId="7986F155">
            <w:pPr>
              <w:pStyle w:val="13"/>
              <w:spacing w:line="360" w:lineRule="auto"/>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lang w:val="en-US" w:eastAsia="zh-CN"/>
              </w:rPr>
              <w:t>2</w:t>
            </w:r>
          </w:p>
        </w:tc>
        <w:tc>
          <w:tcPr>
            <w:tcW w:w="1354" w:type="dxa"/>
            <w:vAlign w:val="center"/>
          </w:tcPr>
          <w:p w14:paraId="653A53FF">
            <w:pPr>
              <w:pStyle w:val="13"/>
              <w:spacing w:line="360" w:lineRule="auto"/>
              <w:rPr>
                <w:rFonts w:hAnsi="宋体" w:cs="宋体"/>
                <w:color w:val="auto"/>
                <w:sz w:val="24"/>
                <w:szCs w:val="24"/>
                <w:highlight w:val="none"/>
              </w:rPr>
            </w:pPr>
            <w:r>
              <w:rPr>
                <w:rFonts w:hint="eastAsia" w:hAnsi="宋体" w:cs="宋体"/>
                <w:bCs/>
                <w:color w:val="auto"/>
                <w:sz w:val="24"/>
                <w:szCs w:val="24"/>
                <w:highlight w:val="none"/>
              </w:rPr>
              <w:t>安保员</w:t>
            </w:r>
          </w:p>
        </w:tc>
        <w:tc>
          <w:tcPr>
            <w:tcW w:w="7443" w:type="dxa"/>
            <w:vAlign w:val="center"/>
          </w:tcPr>
          <w:p w14:paraId="578D684D">
            <w:pPr>
              <w:pStyle w:val="13"/>
              <w:spacing w:line="360" w:lineRule="auto"/>
              <w:rPr>
                <w:rFonts w:hAnsi="宋体" w:cs="宋体"/>
                <w:bCs/>
                <w:color w:val="auto"/>
                <w:sz w:val="24"/>
                <w:szCs w:val="24"/>
                <w:highlight w:val="none"/>
              </w:rPr>
            </w:pPr>
            <w:r>
              <w:rPr>
                <w:rFonts w:hint="eastAsia" w:hAnsi="宋体" w:cs="宋体"/>
                <w:bCs/>
                <w:color w:val="auto"/>
                <w:sz w:val="24"/>
                <w:szCs w:val="24"/>
                <w:highlight w:val="none"/>
              </w:rPr>
              <w:t>不少于</w:t>
            </w:r>
            <w:r>
              <w:rPr>
                <w:rFonts w:hint="eastAsia" w:hAnsi="宋体" w:cs="宋体"/>
                <w:bCs/>
                <w:color w:val="auto"/>
                <w:sz w:val="24"/>
                <w:szCs w:val="24"/>
                <w:highlight w:val="none"/>
                <w:lang w:val="en-US" w:eastAsia="zh-CN"/>
              </w:rPr>
              <w:t>14</w:t>
            </w:r>
            <w:r>
              <w:rPr>
                <w:rFonts w:hint="eastAsia" w:hAnsi="宋体" w:cs="宋体"/>
                <w:bCs/>
                <w:color w:val="auto"/>
                <w:sz w:val="24"/>
                <w:szCs w:val="24"/>
                <w:highlight w:val="none"/>
              </w:rPr>
              <w:t>人(其中</w:t>
            </w:r>
            <w:r>
              <w:rPr>
                <w:rFonts w:hint="eastAsia" w:hAnsi="宋体" w:cs="宋体"/>
                <w:bCs/>
                <w:color w:val="auto"/>
                <w:sz w:val="24"/>
                <w:szCs w:val="24"/>
                <w:highlight w:val="none"/>
                <w:lang w:val="en-US" w:eastAsia="zh-CN"/>
              </w:rPr>
              <w:t>持中级</w:t>
            </w:r>
            <w:r>
              <w:rPr>
                <w:rFonts w:hint="eastAsia" w:hAnsi="宋体" w:cs="宋体"/>
                <w:bCs/>
                <w:color w:val="auto"/>
                <w:sz w:val="24"/>
                <w:szCs w:val="24"/>
                <w:highlight w:val="none"/>
              </w:rPr>
              <w:t>消防人员不少于4人；24小时值勤,负责日常的安全管理、车辆管理、监控管理、消防管理。其中保证监控室2人，24小时值勤,负责治安、消防监控室系统的操作与监控。）</w:t>
            </w:r>
          </w:p>
        </w:tc>
      </w:tr>
      <w:tr w14:paraId="7347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4" w:type="dxa"/>
            <w:vAlign w:val="center"/>
          </w:tcPr>
          <w:p w14:paraId="34184134">
            <w:pPr>
              <w:pStyle w:val="13"/>
              <w:spacing w:line="360" w:lineRule="auto"/>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lang w:val="en-US" w:eastAsia="zh-CN"/>
              </w:rPr>
              <w:t>3</w:t>
            </w:r>
          </w:p>
        </w:tc>
        <w:tc>
          <w:tcPr>
            <w:tcW w:w="1354" w:type="dxa"/>
            <w:vAlign w:val="center"/>
          </w:tcPr>
          <w:p w14:paraId="6E197C55">
            <w:pPr>
              <w:pStyle w:val="13"/>
              <w:spacing w:line="360" w:lineRule="auto"/>
              <w:rPr>
                <w:rFonts w:hAnsi="宋体" w:cs="宋体"/>
                <w:color w:val="auto"/>
                <w:sz w:val="24"/>
                <w:szCs w:val="24"/>
                <w:highlight w:val="none"/>
              </w:rPr>
            </w:pPr>
            <w:r>
              <w:rPr>
                <w:rFonts w:hint="eastAsia" w:hAnsi="宋体" w:cs="宋体"/>
                <w:bCs/>
                <w:color w:val="auto"/>
                <w:sz w:val="24"/>
                <w:szCs w:val="24"/>
                <w:highlight w:val="none"/>
              </w:rPr>
              <w:t>保洁员</w:t>
            </w:r>
          </w:p>
        </w:tc>
        <w:tc>
          <w:tcPr>
            <w:tcW w:w="7443" w:type="dxa"/>
            <w:vAlign w:val="center"/>
          </w:tcPr>
          <w:p w14:paraId="74AC82EC">
            <w:pPr>
              <w:pStyle w:val="13"/>
              <w:spacing w:line="360" w:lineRule="auto"/>
              <w:rPr>
                <w:rFonts w:hAnsi="宋体" w:cs="宋体"/>
                <w:bCs/>
                <w:color w:val="auto"/>
                <w:sz w:val="24"/>
                <w:szCs w:val="24"/>
                <w:highlight w:val="none"/>
              </w:rPr>
            </w:pPr>
            <w:r>
              <w:rPr>
                <w:rFonts w:hint="eastAsia" w:hAnsi="宋体" w:cs="宋体"/>
                <w:b/>
                <w:color w:val="auto"/>
                <w:sz w:val="24"/>
                <w:szCs w:val="24"/>
                <w:highlight w:val="none"/>
              </w:rPr>
              <w:t>不少于</w:t>
            </w:r>
            <w:r>
              <w:rPr>
                <w:rFonts w:hint="eastAsia" w:hAnsi="宋体" w:cs="宋体"/>
                <w:b/>
                <w:color w:val="auto"/>
                <w:sz w:val="24"/>
                <w:szCs w:val="24"/>
                <w:highlight w:val="none"/>
                <w:lang w:val="en-US" w:eastAsia="zh-CN"/>
              </w:rPr>
              <w:t>10</w:t>
            </w:r>
            <w:r>
              <w:rPr>
                <w:rFonts w:hint="eastAsia" w:hAnsi="宋体" w:cs="宋体"/>
                <w:b/>
                <w:color w:val="auto"/>
                <w:sz w:val="24"/>
                <w:szCs w:val="24"/>
                <w:highlight w:val="none"/>
              </w:rPr>
              <w:t>人</w:t>
            </w:r>
            <w:r>
              <w:rPr>
                <w:rFonts w:hint="eastAsia" w:hAnsi="宋体" w:cs="宋体"/>
                <w:bCs/>
                <w:color w:val="auto"/>
                <w:sz w:val="24"/>
                <w:szCs w:val="24"/>
                <w:highlight w:val="none"/>
              </w:rPr>
              <w:t>(负责日常清洁、保洁工作。)</w:t>
            </w:r>
          </w:p>
        </w:tc>
      </w:tr>
      <w:tr w14:paraId="29ADE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914" w:type="dxa"/>
            <w:vAlign w:val="center"/>
          </w:tcPr>
          <w:p w14:paraId="4707A07B">
            <w:pPr>
              <w:pStyle w:val="13"/>
              <w:spacing w:line="360" w:lineRule="auto"/>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lang w:val="en-US" w:eastAsia="zh-CN"/>
              </w:rPr>
              <w:t>4</w:t>
            </w:r>
          </w:p>
        </w:tc>
        <w:tc>
          <w:tcPr>
            <w:tcW w:w="1354" w:type="dxa"/>
            <w:vAlign w:val="center"/>
          </w:tcPr>
          <w:p w14:paraId="73943860">
            <w:pPr>
              <w:pStyle w:val="13"/>
              <w:spacing w:line="360" w:lineRule="auto"/>
              <w:rPr>
                <w:rFonts w:hAnsi="宋体" w:cs="宋体"/>
                <w:color w:val="auto"/>
                <w:sz w:val="24"/>
                <w:szCs w:val="24"/>
                <w:highlight w:val="none"/>
              </w:rPr>
            </w:pPr>
            <w:r>
              <w:rPr>
                <w:rFonts w:hint="eastAsia" w:hAnsi="宋体" w:cs="宋体"/>
                <w:color w:val="auto"/>
                <w:sz w:val="24"/>
                <w:szCs w:val="24"/>
                <w:highlight w:val="none"/>
              </w:rPr>
              <w:t>绿化工</w:t>
            </w:r>
          </w:p>
        </w:tc>
        <w:tc>
          <w:tcPr>
            <w:tcW w:w="7443" w:type="dxa"/>
            <w:vAlign w:val="center"/>
          </w:tcPr>
          <w:p w14:paraId="452B710C">
            <w:pPr>
              <w:pStyle w:val="13"/>
              <w:spacing w:line="360" w:lineRule="auto"/>
              <w:rPr>
                <w:rFonts w:hAnsi="宋体" w:cs="宋体"/>
                <w:b/>
                <w:color w:val="auto"/>
                <w:sz w:val="24"/>
                <w:szCs w:val="24"/>
                <w:highlight w:val="none"/>
              </w:rPr>
            </w:pPr>
            <w:r>
              <w:rPr>
                <w:rFonts w:hint="eastAsia" w:hAnsi="宋体" w:cs="宋体"/>
                <w:b/>
                <w:color w:val="auto"/>
                <w:sz w:val="24"/>
                <w:szCs w:val="24"/>
                <w:highlight w:val="none"/>
              </w:rPr>
              <w:t>不少于</w:t>
            </w:r>
            <w:r>
              <w:rPr>
                <w:rFonts w:hint="eastAsia" w:hAnsi="宋体" w:cs="宋体"/>
                <w:b/>
                <w:color w:val="auto"/>
                <w:sz w:val="24"/>
                <w:szCs w:val="24"/>
                <w:highlight w:val="none"/>
                <w:lang w:val="en-US" w:eastAsia="zh-CN"/>
              </w:rPr>
              <w:t>2</w:t>
            </w:r>
            <w:r>
              <w:rPr>
                <w:rFonts w:hint="eastAsia" w:hAnsi="宋体" w:cs="宋体"/>
                <w:b/>
                <w:color w:val="auto"/>
                <w:sz w:val="24"/>
                <w:szCs w:val="24"/>
                <w:highlight w:val="none"/>
              </w:rPr>
              <w:t>人</w:t>
            </w:r>
          </w:p>
        </w:tc>
      </w:tr>
      <w:tr w14:paraId="3730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14" w:type="dxa"/>
            <w:vAlign w:val="center"/>
          </w:tcPr>
          <w:p w14:paraId="3318AC03">
            <w:pPr>
              <w:pStyle w:val="13"/>
              <w:spacing w:line="360" w:lineRule="auto"/>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lang w:val="en-US" w:eastAsia="zh-CN"/>
              </w:rPr>
              <w:t>5</w:t>
            </w:r>
          </w:p>
        </w:tc>
        <w:tc>
          <w:tcPr>
            <w:tcW w:w="1354" w:type="dxa"/>
            <w:vAlign w:val="center"/>
          </w:tcPr>
          <w:p w14:paraId="6FD6D5C7">
            <w:pPr>
              <w:pStyle w:val="13"/>
              <w:spacing w:line="360" w:lineRule="auto"/>
              <w:rPr>
                <w:rFonts w:hAnsi="宋体" w:cs="宋体"/>
                <w:color w:val="auto"/>
                <w:sz w:val="24"/>
                <w:szCs w:val="24"/>
                <w:highlight w:val="none"/>
              </w:rPr>
            </w:pPr>
            <w:r>
              <w:rPr>
                <w:rFonts w:hint="eastAsia" w:hAnsi="宋体" w:cs="宋体"/>
                <w:color w:val="auto"/>
                <w:sz w:val="24"/>
                <w:szCs w:val="24"/>
                <w:highlight w:val="none"/>
              </w:rPr>
              <w:t>客服</w:t>
            </w:r>
          </w:p>
        </w:tc>
        <w:tc>
          <w:tcPr>
            <w:tcW w:w="7443" w:type="dxa"/>
            <w:vAlign w:val="center"/>
          </w:tcPr>
          <w:p w14:paraId="1517205D">
            <w:pPr>
              <w:pStyle w:val="13"/>
              <w:spacing w:line="360" w:lineRule="auto"/>
              <w:rPr>
                <w:rFonts w:hAnsi="宋体" w:cs="宋体"/>
                <w:b/>
                <w:color w:val="auto"/>
                <w:sz w:val="24"/>
                <w:szCs w:val="24"/>
                <w:highlight w:val="none"/>
              </w:rPr>
            </w:pPr>
            <w:r>
              <w:rPr>
                <w:rFonts w:hint="eastAsia" w:hAnsi="宋体" w:cs="宋体"/>
                <w:b/>
                <w:color w:val="auto"/>
                <w:sz w:val="24"/>
                <w:szCs w:val="24"/>
                <w:highlight w:val="none"/>
              </w:rPr>
              <w:t>不少于</w:t>
            </w:r>
            <w:r>
              <w:rPr>
                <w:rFonts w:hint="eastAsia" w:hAnsi="宋体" w:cs="宋体"/>
                <w:b/>
                <w:color w:val="auto"/>
                <w:sz w:val="24"/>
                <w:szCs w:val="24"/>
                <w:highlight w:val="none"/>
                <w:lang w:val="en-US" w:eastAsia="zh-CN"/>
              </w:rPr>
              <w:t>3</w:t>
            </w:r>
            <w:r>
              <w:rPr>
                <w:rFonts w:hint="eastAsia" w:hAnsi="宋体" w:cs="宋体"/>
                <w:b/>
                <w:color w:val="auto"/>
                <w:sz w:val="24"/>
                <w:szCs w:val="24"/>
                <w:highlight w:val="none"/>
              </w:rPr>
              <w:t>人</w:t>
            </w:r>
          </w:p>
        </w:tc>
      </w:tr>
      <w:tr w14:paraId="4FA6B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914" w:type="dxa"/>
            <w:vAlign w:val="center"/>
          </w:tcPr>
          <w:p w14:paraId="217D7E13">
            <w:pPr>
              <w:pStyle w:val="13"/>
              <w:spacing w:line="360" w:lineRule="auto"/>
              <w:rPr>
                <w:rFonts w:hint="eastAsia" w:hAnsi="宋体" w:eastAsia="宋体" w:cs="宋体"/>
                <w:bCs/>
                <w:color w:val="auto"/>
                <w:sz w:val="24"/>
                <w:szCs w:val="24"/>
                <w:highlight w:val="none"/>
                <w:lang w:eastAsia="zh-CN"/>
              </w:rPr>
            </w:pPr>
            <w:r>
              <w:rPr>
                <w:rFonts w:hint="eastAsia" w:hAnsi="宋体" w:cs="宋体"/>
                <w:bCs/>
                <w:color w:val="auto"/>
                <w:sz w:val="24"/>
                <w:szCs w:val="24"/>
                <w:highlight w:val="none"/>
                <w:lang w:val="en-US" w:eastAsia="zh-CN"/>
              </w:rPr>
              <w:t>6</w:t>
            </w:r>
          </w:p>
        </w:tc>
        <w:tc>
          <w:tcPr>
            <w:tcW w:w="1354" w:type="dxa"/>
            <w:vAlign w:val="center"/>
          </w:tcPr>
          <w:p w14:paraId="0B1806AB">
            <w:pPr>
              <w:pStyle w:val="13"/>
              <w:spacing w:line="360" w:lineRule="auto"/>
              <w:rPr>
                <w:rFonts w:hAnsi="宋体" w:cs="宋体"/>
                <w:color w:val="auto"/>
                <w:sz w:val="24"/>
                <w:szCs w:val="24"/>
                <w:highlight w:val="none"/>
              </w:rPr>
            </w:pPr>
            <w:r>
              <w:rPr>
                <w:rFonts w:hint="eastAsia" w:hAnsi="宋体" w:cs="宋体"/>
                <w:color w:val="auto"/>
                <w:sz w:val="24"/>
                <w:szCs w:val="24"/>
                <w:highlight w:val="none"/>
              </w:rPr>
              <w:t>水电工</w:t>
            </w:r>
          </w:p>
        </w:tc>
        <w:tc>
          <w:tcPr>
            <w:tcW w:w="7443" w:type="dxa"/>
            <w:vAlign w:val="center"/>
          </w:tcPr>
          <w:p w14:paraId="04D78DB2">
            <w:pPr>
              <w:pStyle w:val="13"/>
              <w:spacing w:line="360" w:lineRule="auto"/>
              <w:rPr>
                <w:rFonts w:hAnsi="宋体" w:cs="宋体"/>
                <w:b/>
                <w:color w:val="auto"/>
                <w:sz w:val="24"/>
                <w:szCs w:val="24"/>
                <w:highlight w:val="none"/>
              </w:rPr>
            </w:pPr>
            <w:r>
              <w:rPr>
                <w:rFonts w:hint="eastAsia" w:hAnsi="宋体" w:cs="宋体"/>
                <w:b/>
                <w:color w:val="auto"/>
                <w:sz w:val="24"/>
                <w:szCs w:val="24"/>
                <w:highlight w:val="none"/>
              </w:rPr>
              <w:t>不少于2人</w:t>
            </w:r>
          </w:p>
        </w:tc>
      </w:tr>
    </w:tbl>
    <w:p w14:paraId="24D25A57">
      <w:pPr>
        <w:pStyle w:val="1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备注：</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u w:val="single"/>
          <w:lang w:val="en-US" w:eastAsia="zh-CN"/>
        </w:rPr>
        <w:t>中标人在中标后及服务期内不得随意变更项目负责人及项目组所有服务人员，且所有人员上岗前必须经过培训。如果出现员工离职等特殊情况的以及人员调配，必须经甲方、属地政府、主管部门同意，否则甲方有权按照物业服务费中标总额的2%进行扣除。</w:t>
      </w:r>
    </w:p>
    <w:p w14:paraId="7C6814DE">
      <w:pPr>
        <w:pStyle w:val="10"/>
        <w:spacing w:line="360" w:lineRule="auto"/>
        <w:ind w:firstLine="480" w:firstLineChars="200"/>
        <w:rPr>
          <w:rFonts w:hint="eastAsia" w:ascii="宋体" w:hAnsi="宋体"/>
          <w:b/>
          <w:bCs/>
          <w:color w:val="auto"/>
          <w:sz w:val="24"/>
          <w:szCs w:val="24"/>
          <w:highlight w:val="none"/>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u w:val="single"/>
          <w:lang w:val="en-US" w:eastAsia="zh-CN"/>
        </w:rPr>
        <w:t>前期介入服务人员进场需经招标人书面通知</w:t>
      </w:r>
      <w:r>
        <w:rPr>
          <w:rFonts w:hint="eastAsia" w:ascii="宋体" w:hAnsi="宋体" w:eastAsia="宋体" w:cs="宋体"/>
          <w:color w:val="auto"/>
          <w:sz w:val="24"/>
          <w:szCs w:val="24"/>
          <w:highlight w:val="none"/>
          <w:u w:val="single"/>
        </w:rPr>
        <w:t>。</w:t>
      </w:r>
    </w:p>
    <w:p w14:paraId="37042A36">
      <w:pPr>
        <w:spacing w:line="360" w:lineRule="auto"/>
        <w:outlineLvl w:val="0"/>
        <w:rPr>
          <w:rFonts w:hint="eastAsia" w:ascii="宋体" w:hAnsi="宋体" w:cs="宋体"/>
          <w:b/>
          <w:color w:val="auto"/>
          <w:sz w:val="24"/>
          <w:szCs w:val="24"/>
          <w:highlight w:val="none"/>
          <w:lang w:val="en-US" w:eastAsia="zh-CN"/>
        </w:rPr>
      </w:pPr>
      <w:r>
        <w:rPr>
          <w:rFonts w:hint="eastAsia" w:ascii="宋体" w:hAnsi="宋体" w:cs="宋体"/>
          <w:b/>
          <w:color w:val="auto"/>
          <w:sz w:val="24"/>
          <w:szCs w:val="24"/>
          <w:highlight w:val="none"/>
          <w:lang w:val="en-US" w:eastAsia="zh-CN"/>
        </w:rPr>
        <w:t xml:space="preserve">三、付款方式: </w:t>
      </w:r>
    </w:p>
    <w:p w14:paraId="45B8B63B">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物业进场后四个月内付清前期介入服务费用；</w:t>
      </w:r>
    </w:p>
    <w:p w14:paraId="44CE7B31">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物业服务费用采用单价包干制，由中标单位按中标单价向住户按其拥有物业的产权面积收取。</w:t>
      </w:r>
    </w:p>
    <w:p w14:paraId="595F9199">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空置房部分：纳入物业管理和服务范围的已竣工但尚未售出或者因开发建设单位原因未按时交给物业买受人的物业，</w:t>
      </w:r>
      <w:r>
        <w:rPr>
          <w:rFonts w:hint="eastAsia" w:ascii="宋体" w:hAnsi="宋体" w:cs="宋体"/>
          <w:color w:val="auto"/>
          <w:kern w:val="0"/>
          <w:sz w:val="24"/>
          <w:highlight w:val="none"/>
          <w:lang w:val="en-US" w:eastAsia="zh-CN"/>
        </w:rPr>
        <w:t>空置房结算三年，</w:t>
      </w:r>
      <w:r>
        <w:rPr>
          <w:rFonts w:hint="eastAsia" w:ascii="宋体" w:hAnsi="宋体" w:eastAsia="宋体" w:cs="宋体"/>
          <w:color w:val="auto"/>
          <w:kern w:val="0"/>
          <w:sz w:val="24"/>
          <w:highlight w:val="none"/>
        </w:rPr>
        <w:t>物业费每年收取一次（空置房空置时间按月计算，不满一月的不计算空置费，满一月以上的按实际整数月结算，每年期满后次月由开发建设单位支付给中标单位）。根据《江苏省物业管理条例》，</w:t>
      </w:r>
      <w:r>
        <w:rPr>
          <w:rFonts w:hint="eastAsia"/>
          <w:color w:val="auto"/>
          <w:sz w:val="24"/>
          <w:szCs w:val="24"/>
          <w:highlight w:val="none"/>
          <w:lang w:val="en-US" w:eastAsia="zh-CN"/>
        </w:rPr>
        <w:t>开发建设单位与物业公司空置房费用按如下方式结算，第一年开发建设单位暂缓支付，第二年开发建设单位支付第一年空置房总费用的10%，第三年合同结束前付清。</w:t>
      </w:r>
    </w:p>
    <w:p w14:paraId="776EB121">
      <w:pPr>
        <w:pStyle w:val="9"/>
        <w:spacing w:line="420" w:lineRule="exact"/>
        <w:jc w:val="both"/>
        <w:outlineLvl w:val="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p>
    <w:p w14:paraId="2F7723C1">
      <w:pPr>
        <w:pStyle w:val="9"/>
        <w:spacing w:line="420" w:lineRule="exact"/>
        <w:jc w:val="both"/>
        <w:outlineLvl w:val="0"/>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p>
    <w:p w14:paraId="02BF6520">
      <w:pPr>
        <w:pStyle w:val="9"/>
        <w:spacing w:line="420" w:lineRule="exact"/>
        <w:ind w:firstLine="2711" w:firstLineChars="900"/>
        <w:jc w:val="both"/>
        <w:outlineLvl w:val="0"/>
        <w:rPr>
          <w:rFonts w:hint="eastAsia" w:ascii="宋体" w:hAnsi="宋体" w:cs="宋体"/>
          <w:b/>
          <w:bCs/>
          <w:color w:val="auto"/>
          <w:sz w:val="30"/>
          <w:szCs w:val="30"/>
          <w:highlight w:val="none"/>
        </w:rPr>
      </w:pPr>
    </w:p>
    <w:p w14:paraId="1F859F82">
      <w:pPr>
        <w:pStyle w:val="9"/>
        <w:spacing w:line="420" w:lineRule="exact"/>
        <w:ind w:firstLine="2711" w:firstLineChars="900"/>
        <w:jc w:val="both"/>
        <w:outlineLvl w:val="0"/>
        <w:rPr>
          <w:rFonts w:hint="eastAsia" w:ascii="宋体" w:hAnsi="宋体" w:cs="宋体"/>
          <w:b/>
          <w:bCs/>
          <w:color w:val="auto"/>
          <w:sz w:val="30"/>
          <w:szCs w:val="30"/>
          <w:highlight w:val="none"/>
        </w:rPr>
      </w:pPr>
    </w:p>
    <w:p w14:paraId="249E2CCC">
      <w:pPr>
        <w:pStyle w:val="9"/>
        <w:spacing w:line="420" w:lineRule="exact"/>
        <w:ind w:firstLine="2711" w:firstLineChars="900"/>
        <w:jc w:val="both"/>
        <w:outlineLvl w:val="0"/>
        <w:rPr>
          <w:rFonts w:hint="eastAsia" w:ascii="宋体" w:hAnsi="宋体" w:cs="宋体"/>
          <w:b/>
          <w:bCs/>
          <w:color w:val="auto"/>
          <w:sz w:val="30"/>
          <w:szCs w:val="30"/>
          <w:highlight w:val="none"/>
        </w:rPr>
      </w:pPr>
    </w:p>
    <w:p w14:paraId="1C11FC03">
      <w:pPr>
        <w:pStyle w:val="9"/>
        <w:spacing w:line="420" w:lineRule="exact"/>
        <w:ind w:firstLine="2711" w:firstLineChars="900"/>
        <w:jc w:val="both"/>
        <w:outlineLvl w:val="0"/>
        <w:rPr>
          <w:rFonts w:hint="eastAsia" w:ascii="宋体" w:hAnsi="宋体" w:cs="宋体"/>
          <w:b/>
          <w:bCs/>
          <w:color w:val="auto"/>
          <w:sz w:val="30"/>
          <w:szCs w:val="30"/>
          <w:highlight w:val="none"/>
        </w:rPr>
      </w:pPr>
    </w:p>
    <w:p w14:paraId="4C27D891">
      <w:pPr>
        <w:pStyle w:val="9"/>
        <w:spacing w:line="420" w:lineRule="exact"/>
        <w:ind w:firstLine="0" w:firstLineChars="0"/>
        <w:jc w:val="both"/>
        <w:outlineLvl w:val="0"/>
        <w:rPr>
          <w:rFonts w:hint="eastAsia" w:ascii="宋体" w:hAnsi="宋体" w:cs="宋体"/>
          <w:b/>
          <w:bCs/>
          <w:color w:val="auto"/>
          <w:sz w:val="30"/>
          <w:szCs w:val="30"/>
          <w:highlight w:val="none"/>
        </w:rPr>
      </w:pPr>
    </w:p>
    <w:p w14:paraId="03F4E03D">
      <w:pPr>
        <w:pStyle w:val="9"/>
        <w:spacing w:line="420" w:lineRule="exact"/>
        <w:ind w:firstLine="2711" w:firstLineChars="900"/>
        <w:jc w:val="both"/>
        <w:outlineLvl w:val="0"/>
        <w:rPr>
          <w:rFonts w:ascii="宋体" w:hAnsi="宋体" w:cs="宋体"/>
          <w:b/>
          <w:bCs/>
          <w:color w:val="auto"/>
          <w:sz w:val="30"/>
          <w:szCs w:val="30"/>
          <w:highlight w:val="none"/>
        </w:rPr>
      </w:pPr>
      <w:r>
        <w:rPr>
          <w:rFonts w:hint="eastAsia" w:ascii="宋体" w:hAnsi="宋体" w:cs="宋体"/>
          <w:b/>
          <w:bCs/>
          <w:color w:val="auto"/>
          <w:sz w:val="30"/>
          <w:szCs w:val="30"/>
          <w:highlight w:val="none"/>
        </w:rPr>
        <w:t>第三部分   投标须知</w:t>
      </w:r>
    </w:p>
    <w:p w14:paraId="31EEC8FC">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一 .说明</w:t>
      </w:r>
    </w:p>
    <w:p w14:paraId="284078C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1.本</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文件中所称的“</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人”为如东县欣荣城镇开发建设有限公司，“投标供应商”为本项目的供应商，“</w:t>
      </w:r>
      <w:r>
        <w:rPr>
          <w:rFonts w:hint="eastAsia" w:ascii="宋体" w:hAnsi="宋体" w:cs="宋体"/>
          <w:color w:val="auto"/>
          <w:sz w:val="24"/>
          <w:szCs w:val="24"/>
          <w:highlight w:val="none"/>
          <w:lang w:val="en-US" w:eastAsia="zh-CN"/>
        </w:rPr>
        <w:t>评标</w:t>
      </w:r>
      <w:r>
        <w:rPr>
          <w:rFonts w:hint="eastAsia" w:ascii="宋体" w:hAnsi="宋体" w:cs="宋体"/>
          <w:color w:val="auto"/>
          <w:sz w:val="24"/>
          <w:szCs w:val="24"/>
          <w:highlight w:val="none"/>
        </w:rPr>
        <w:t>小组”为本项目评标组织，“成交供应商”为本项目的中标供应商。</w:t>
      </w:r>
    </w:p>
    <w:p w14:paraId="5743A4C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2.本</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文件仅适用于本次</w:t>
      </w:r>
      <w:r>
        <w:rPr>
          <w:rFonts w:hint="eastAsia" w:ascii="宋体" w:hAnsi="宋体" w:cs="宋体"/>
          <w:color w:val="auto"/>
          <w:sz w:val="24"/>
          <w:szCs w:val="24"/>
          <w:highlight w:val="none"/>
          <w:lang w:val="en-US" w:eastAsia="zh-CN"/>
        </w:rPr>
        <w:t>公开招标</w:t>
      </w:r>
      <w:r>
        <w:rPr>
          <w:rFonts w:hint="eastAsia" w:ascii="宋体" w:hAnsi="宋体" w:cs="宋体"/>
          <w:color w:val="auto"/>
          <w:sz w:val="24"/>
          <w:szCs w:val="24"/>
          <w:highlight w:val="none"/>
        </w:rPr>
        <w:t>，解释权归</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方所有。</w:t>
      </w:r>
    </w:p>
    <w:p w14:paraId="5F27C16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3.投标供应商不得在成交后将成交项目转包（或分包）给其它企业或自然人。</w:t>
      </w:r>
    </w:p>
    <w:p w14:paraId="047C23C0">
      <w:pPr>
        <w:spacing w:line="360" w:lineRule="auto"/>
        <w:ind w:firstLine="420" w:firstLineChars="200"/>
        <w:rPr>
          <w:rFonts w:ascii="宋体" w:hAnsi="宋体" w:cs="宋体"/>
          <w:color w:val="auto"/>
          <w:sz w:val="24"/>
          <w:szCs w:val="24"/>
          <w:highlight w:val="none"/>
        </w:rPr>
      </w:pPr>
      <w:r>
        <w:rPr>
          <w:color w:val="auto"/>
          <w:highlight w:val="none"/>
        </w:rPr>
        <w:fldChar w:fldCharType="begin"/>
      </w:r>
      <w:r>
        <w:rPr>
          <w:color w:val="auto"/>
          <w:highlight w:val="none"/>
        </w:rPr>
        <w:instrText xml:space="preserve"> HYPERLINK "mailto:4.投标人对采购文件如有疑问，应于采购文件发出后2日内以无记名邮件方式发至代理专用邮箱（13515216166@163.com），所有答复也在网上公开回复。无论是采购人根据需要主动对采购文件进行必要的澄清，或是根据投标人的要求对采购文件做出澄清，采购人都将于提交投标文件截止时间前以补充通知的方式在网上公开发布，各投标人可在" </w:instrText>
      </w:r>
      <w:r>
        <w:rPr>
          <w:color w:val="auto"/>
          <w:highlight w:val="none"/>
        </w:rPr>
        <w:fldChar w:fldCharType="separate"/>
      </w:r>
      <w:r>
        <w:rPr>
          <w:rFonts w:hint="eastAsia" w:ascii="宋体" w:hAnsi="宋体"/>
          <w:color w:val="auto"/>
          <w:sz w:val="24"/>
          <w:szCs w:val="24"/>
          <w:highlight w:val="none"/>
        </w:rPr>
        <w:t>4.投标供应商对</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文件如有疑问，应于</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文件发出后2日内以无记名邮件方式发至代理专用邮箱（</w:t>
      </w:r>
      <w:r>
        <w:rPr>
          <w:rFonts w:hint="eastAsia" w:ascii="宋体" w:hAnsi="宋体"/>
          <w:color w:val="auto"/>
          <w:sz w:val="24"/>
          <w:szCs w:val="24"/>
          <w:highlight w:val="none"/>
          <w:lang w:val="en-US" w:eastAsia="zh-CN"/>
        </w:rPr>
        <w:t>1176336615</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qq</w:t>
      </w:r>
      <w:r>
        <w:rPr>
          <w:rFonts w:hint="eastAsia" w:ascii="宋体" w:hAnsi="宋体"/>
          <w:color w:val="auto"/>
          <w:sz w:val="24"/>
          <w:szCs w:val="24"/>
          <w:highlight w:val="none"/>
        </w:rPr>
        <w:t>.com），所有答复也在网上公开回复。无论是</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人根据需要主动对</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文件进行必要的澄清，或是根据投标供应商的要求对</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文件做出澄清，</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人都将于提交投标文件截止时间前以补充通知的方式在网上公开发布，各投标供应商可在“</w:t>
      </w:r>
      <w:r>
        <w:rPr>
          <w:rFonts w:hint="eastAsia" w:ascii="宋体" w:hAnsi="宋体" w:cs="宋体"/>
          <w:color w:val="auto"/>
          <w:kern w:val="0"/>
          <w:sz w:val="24"/>
          <w:szCs w:val="24"/>
          <w:highlight w:val="none"/>
        </w:rPr>
        <w:t>东和集团国有企业平台</w:t>
      </w:r>
      <w:r>
        <w:rPr>
          <w:rFonts w:hint="eastAsia" w:ascii="宋体" w:hAnsi="宋体"/>
          <w:color w:val="auto"/>
          <w:sz w:val="24"/>
          <w:szCs w:val="24"/>
          <w:highlight w:val="none"/>
        </w:rPr>
        <w:t>”下载。当</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文件、</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文件的澄清、修改、补充通知等对同一内容的表述不一致时，以最后再发出的文件为准。</w:t>
      </w:r>
      <w:r>
        <w:rPr>
          <w:rFonts w:hint="eastAsia" w:ascii="宋体" w:hAnsi="宋体"/>
          <w:color w:val="auto"/>
          <w:sz w:val="24"/>
          <w:szCs w:val="24"/>
          <w:highlight w:val="none"/>
        </w:rPr>
        <w:fldChar w:fldCharType="end"/>
      </w:r>
    </w:p>
    <w:p w14:paraId="7342FCA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.评标委员会的组建：评标委员会构成：3人。</w:t>
      </w:r>
    </w:p>
    <w:p w14:paraId="5334F25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.异议提出的时间：公示期内。</w:t>
      </w:r>
    </w:p>
    <w:p w14:paraId="56840D93">
      <w:pP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二.投标供应商资格要求</w:t>
      </w:r>
    </w:p>
    <w:p w14:paraId="32540FD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投标供应商必须同时符合以下条件：</w:t>
      </w:r>
      <w:r>
        <w:rPr>
          <w:rFonts w:hint="eastAsia" w:ascii="宋体" w:hAnsi="宋体" w:cs="宋体"/>
          <w:color w:val="auto"/>
          <w:sz w:val="24"/>
          <w:szCs w:val="24"/>
          <w:highlight w:val="none"/>
          <w:lang w:val="en-US" w:eastAsia="zh-CN"/>
        </w:rPr>
        <w:t>具体</w:t>
      </w:r>
      <w:r>
        <w:rPr>
          <w:rFonts w:hint="eastAsia" w:ascii="宋体" w:hAnsi="宋体" w:cs="宋体"/>
          <w:color w:val="auto"/>
          <w:sz w:val="24"/>
          <w:szCs w:val="24"/>
          <w:highlight w:val="none"/>
          <w:lang w:val="en-US" w:eastAsia="zh-CN"/>
        </w:rPr>
        <w:t>详</w:t>
      </w:r>
      <w:r>
        <w:rPr>
          <w:rFonts w:hint="eastAsia" w:ascii="宋体" w:hAnsi="宋体" w:cs="宋体"/>
          <w:color w:val="auto"/>
          <w:kern w:val="0"/>
          <w:sz w:val="24"/>
          <w:szCs w:val="24"/>
          <w:highlight w:val="none"/>
        </w:rPr>
        <w:t>见本项目</w:t>
      </w:r>
      <w:r>
        <w:rPr>
          <w:rFonts w:hint="eastAsia" w:ascii="宋体" w:hAnsi="宋体" w:cs="宋体"/>
          <w:color w:val="auto"/>
          <w:kern w:val="0"/>
          <w:sz w:val="24"/>
          <w:szCs w:val="24"/>
          <w:highlight w:val="none"/>
          <w:lang w:val="en-US" w:eastAsia="zh-CN"/>
        </w:rPr>
        <w:t>招标</w:t>
      </w:r>
      <w:r>
        <w:rPr>
          <w:rFonts w:hint="eastAsia" w:ascii="宋体" w:hAnsi="宋体" w:cs="宋体"/>
          <w:color w:val="auto"/>
          <w:kern w:val="0"/>
          <w:sz w:val="24"/>
          <w:szCs w:val="24"/>
          <w:highlight w:val="none"/>
        </w:rPr>
        <w:t>公告。</w:t>
      </w:r>
    </w:p>
    <w:p w14:paraId="770C91EB">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三.</w:t>
      </w:r>
      <w:r>
        <w:rPr>
          <w:rFonts w:hint="eastAsia" w:ascii="宋体" w:hAnsi="宋体" w:cs="宋体"/>
          <w:b/>
          <w:color w:val="auto"/>
          <w:sz w:val="24"/>
          <w:szCs w:val="24"/>
          <w:highlight w:val="none"/>
          <w:lang w:val="en-US" w:eastAsia="zh-CN"/>
        </w:rPr>
        <w:t>招标</w:t>
      </w:r>
      <w:r>
        <w:rPr>
          <w:rFonts w:hint="eastAsia" w:ascii="宋体" w:hAnsi="宋体" w:cs="宋体"/>
          <w:b/>
          <w:color w:val="auto"/>
          <w:sz w:val="24"/>
          <w:szCs w:val="24"/>
          <w:highlight w:val="none"/>
        </w:rPr>
        <w:t>程序及成交原则</w:t>
      </w:r>
    </w:p>
    <w:p w14:paraId="69043B4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1.投标供应商须在投标截止时间前按</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文件的要求递交投标文件。</w:t>
      </w:r>
    </w:p>
    <w:p w14:paraId="32E3942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US" w:eastAsia="zh-CN"/>
        </w:rPr>
        <w:t>评标</w:t>
      </w:r>
      <w:r>
        <w:rPr>
          <w:rFonts w:hint="eastAsia" w:ascii="宋体" w:hAnsi="宋体" w:cs="宋体"/>
          <w:color w:val="auto"/>
          <w:sz w:val="24"/>
          <w:szCs w:val="24"/>
          <w:highlight w:val="none"/>
        </w:rPr>
        <w:t>小组根据</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文件要求对投标供应商进行资格性审查，审查主要内容包括：</w:t>
      </w:r>
    </w:p>
    <w:p w14:paraId="226BD40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（1）投标文件递交情况；</w:t>
      </w:r>
    </w:p>
    <w:p w14:paraId="15D3C32A">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（2）投标供应商及有关证明资料的完整性、真实性。</w:t>
      </w:r>
    </w:p>
    <w:p w14:paraId="36E049B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资格性审查未通过的投标供应商作无效投标处理。</w:t>
      </w:r>
    </w:p>
    <w:p w14:paraId="4859031D">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val="en-US" w:eastAsia="zh-CN"/>
        </w:rPr>
        <w:t>评标</w:t>
      </w:r>
      <w:r>
        <w:rPr>
          <w:rFonts w:hint="eastAsia" w:ascii="宋体" w:hAnsi="宋体" w:cs="宋体"/>
          <w:color w:val="auto"/>
          <w:sz w:val="24"/>
          <w:szCs w:val="24"/>
          <w:highlight w:val="none"/>
        </w:rPr>
        <w:t>小组对投标供应商进行符合性审查，审查主要内容包括：</w:t>
      </w:r>
    </w:p>
    <w:p w14:paraId="12841480">
      <w:pPr>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（1）投标文件的有效性和完整性；</w:t>
      </w:r>
    </w:p>
    <w:p w14:paraId="1D0DCFBF">
      <w:pPr>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（2）投标供应商和投标文件是否对</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文件作出实质性响应。</w:t>
      </w:r>
    </w:p>
    <w:p w14:paraId="4247C8CC">
      <w:pPr>
        <w:spacing w:line="360" w:lineRule="auto"/>
        <w:ind w:firstLine="480" w:firstLineChars="200"/>
        <w:rPr>
          <w:rFonts w:hint="default" w:ascii="宋体" w:hAnsi="宋体" w:eastAsia="宋体" w:cs="宋体"/>
          <w:b w:val="0"/>
          <w:bCs w:val="0"/>
          <w:color w:val="auto"/>
          <w:sz w:val="24"/>
          <w:szCs w:val="24"/>
          <w:highlight w:val="none"/>
          <w:lang w:val="en-US" w:eastAsia="zh-CN"/>
        </w:rPr>
      </w:pPr>
      <w:r>
        <w:rPr>
          <w:rFonts w:hint="eastAsia" w:ascii="宋体" w:hAnsi="宋体" w:cs="宋体"/>
          <w:color w:val="auto"/>
          <w:sz w:val="24"/>
          <w:szCs w:val="24"/>
          <w:highlight w:val="none"/>
        </w:rPr>
        <w:t>符合性审查未通过的投标供应商作无效投标处理。</w:t>
      </w:r>
      <w:r>
        <w:rPr>
          <w:rFonts w:hint="eastAsia" w:ascii="宋体" w:hAnsi="宋体" w:cs="宋体"/>
          <w:b w:val="0"/>
          <w:bCs w:val="0"/>
          <w:color w:val="auto"/>
          <w:sz w:val="24"/>
          <w:szCs w:val="24"/>
          <w:highlight w:val="none"/>
          <w:lang w:val="en-US" w:eastAsia="zh-CN"/>
        </w:rPr>
        <w:t xml:space="preserve">     </w:t>
      </w:r>
    </w:p>
    <w:p w14:paraId="2797858F">
      <w:pPr>
        <w:spacing w:line="420" w:lineRule="exact"/>
        <w:ind w:firstLine="482" w:firstLineChars="200"/>
        <w:rPr>
          <w:rFonts w:ascii="宋体" w:hAnsi="宋体" w:cs="宋体"/>
          <w:b w:val="0"/>
          <w:bCs w:val="0"/>
          <w:color w:val="auto"/>
          <w:sz w:val="24"/>
          <w:highlight w:val="none"/>
        </w:rPr>
      </w:pPr>
      <w:r>
        <w:rPr>
          <w:rFonts w:hint="eastAsia" w:ascii="宋体" w:hAnsi="宋体" w:cs="宋体"/>
          <w:b/>
          <w:bCs/>
          <w:color w:val="auto"/>
          <w:sz w:val="24"/>
          <w:szCs w:val="24"/>
          <w:highlight w:val="none"/>
          <w:lang w:eastAsia="zh-CN"/>
        </w:rPr>
        <w:t>4</w:t>
      </w:r>
      <w:r>
        <w:rPr>
          <w:rFonts w:hint="eastAsia" w:ascii="宋体" w:hAnsi="宋体" w:cs="宋体"/>
          <w:b/>
          <w:bCs/>
          <w:color w:val="auto"/>
          <w:sz w:val="24"/>
          <w:szCs w:val="24"/>
          <w:highlight w:val="none"/>
        </w:rPr>
        <w:t>.成交原则：</w:t>
      </w:r>
      <w:r>
        <w:rPr>
          <w:rFonts w:hint="eastAsia" w:ascii="宋体" w:hAnsi="宋体" w:cs="宋体"/>
          <w:b/>
          <w:bCs/>
          <w:color w:val="auto"/>
          <w:sz w:val="24"/>
          <w:highlight w:val="none"/>
          <w:lang w:eastAsia="zh-CN"/>
        </w:rPr>
        <w:t>评标</w:t>
      </w:r>
      <w:r>
        <w:rPr>
          <w:rFonts w:hint="eastAsia" w:ascii="宋体" w:hAnsi="宋体" w:cs="宋体"/>
          <w:b/>
          <w:bCs/>
          <w:color w:val="auto"/>
          <w:sz w:val="24"/>
          <w:highlight w:val="none"/>
        </w:rPr>
        <w:t>小组根据质量和服务均能满足</w:t>
      </w:r>
      <w:r>
        <w:rPr>
          <w:rFonts w:hint="eastAsia" w:ascii="宋体" w:hAnsi="宋体" w:cs="宋体"/>
          <w:b/>
          <w:bCs/>
          <w:color w:val="auto"/>
          <w:sz w:val="24"/>
          <w:highlight w:val="none"/>
          <w:lang w:eastAsia="zh-CN"/>
        </w:rPr>
        <w:t>招标</w:t>
      </w:r>
      <w:r>
        <w:rPr>
          <w:rFonts w:hint="eastAsia" w:ascii="宋体" w:hAnsi="宋体" w:cs="宋体"/>
          <w:b/>
          <w:bCs/>
          <w:color w:val="auto"/>
          <w:sz w:val="24"/>
          <w:highlight w:val="none"/>
        </w:rPr>
        <w:t>文件实质性响应要求且</w:t>
      </w:r>
      <w:r>
        <w:rPr>
          <w:rFonts w:hint="eastAsia" w:ascii="宋体" w:hAnsi="宋体" w:cs="宋体"/>
          <w:b/>
          <w:bCs/>
          <w:color w:val="auto"/>
          <w:sz w:val="24"/>
          <w:highlight w:val="none"/>
          <w:lang w:val="en-US" w:eastAsia="zh-CN"/>
        </w:rPr>
        <w:t>投标</w:t>
      </w:r>
      <w:r>
        <w:rPr>
          <w:rFonts w:hint="eastAsia" w:ascii="宋体" w:hAnsi="宋体" w:cs="宋体"/>
          <w:b/>
          <w:bCs/>
          <w:color w:val="auto"/>
          <w:sz w:val="24"/>
          <w:highlight w:val="none"/>
        </w:rPr>
        <w:t>报价最低的原则从合格投标供应商中确定成交供应商。若最低投标报价出现相同时,由</w:t>
      </w:r>
      <w:r>
        <w:rPr>
          <w:rFonts w:hint="eastAsia" w:ascii="宋体" w:hAnsi="宋体" w:cs="宋体"/>
          <w:b/>
          <w:bCs/>
          <w:color w:val="auto"/>
          <w:sz w:val="24"/>
          <w:highlight w:val="none"/>
          <w:lang w:eastAsia="zh-CN"/>
        </w:rPr>
        <w:t>招标</w:t>
      </w:r>
      <w:r>
        <w:rPr>
          <w:rFonts w:hint="eastAsia" w:ascii="宋体" w:hAnsi="宋体" w:cs="宋体"/>
          <w:b/>
          <w:bCs/>
          <w:color w:val="auto"/>
          <w:sz w:val="24"/>
          <w:highlight w:val="none"/>
        </w:rPr>
        <w:t>人采取随机抽取方式确定成交供应商。</w:t>
      </w:r>
    </w:p>
    <w:p w14:paraId="0A448485">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.成交供应商经公示无异议后，</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人向成交供应商签发《中标通知书》。</w:t>
      </w:r>
    </w:p>
    <w:p w14:paraId="4AE4EA2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.成交供应商按照本</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文件相关规定与</w:t>
      </w:r>
      <w:r>
        <w:rPr>
          <w:rFonts w:hint="eastAsia" w:ascii="宋体" w:hAnsi="宋体" w:cs="宋体"/>
          <w:color w:val="auto"/>
          <w:sz w:val="24"/>
          <w:szCs w:val="24"/>
          <w:highlight w:val="none"/>
          <w:lang w:val="en-US" w:eastAsia="zh-CN"/>
        </w:rPr>
        <w:t>招标</w:t>
      </w:r>
      <w:r>
        <w:rPr>
          <w:rFonts w:hint="eastAsia" w:ascii="宋体" w:hAnsi="宋体" w:cs="宋体"/>
          <w:color w:val="auto"/>
          <w:sz w:val="24"/>
          <w:szCs w:val="24"/>
          <w:highlight w:val="none"/>
        </w:rPr>
        <w:t>人签订合同。</w:t>
      </w:r>
    </w:p>
    <w:p w14:paraId="2918EAD5">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四.无效投标及废标情形</w:t>
      </w:r>
    </w:p>
    <w:p w14:paraId="7A04E3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1.符合下列情形之一者，投标供应商投标无效：</w:t>
      </w:r>
    </w:p>
    <w:p w14:paraId="0E7EA5C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（1）投标供应商未按本</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文件要求提供投标文件；</w:t>
      </w:r>
    </w:p>
    <w:p w14:paraId="6D85196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（2）投标文件未按本</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文件规定的格式制作的；</w:t>
      </w:r>
    </w:p>
    <w:p w14:paraId="7BDE128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（3）投标文件未按本</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文件要求盖章及签署的；</w:t>
      </w:r>
    </w:p>
    <w:p w14:paraId="239E279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（4）投标供应商提供虚假、伪造、过期资料的；</w:t>
      </w:r>
    </w:p>
    <w:p w14:paraId="6CA5AC3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（5）投标供应商资格条件不符合国家有关规定，或者不满足</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文件规定的资格条件的；</w:t>
      </w:r>
    </w:p>
    <w:p w14:paraId="0D7CDB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（6）投标供应商在投标文件中提交的投标报价高于</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含等于</w:t>
      </w:r>
      <w:r>
        <w:rPr>
          <w:rFonts w:hint="eastAsia" w:ascii="宋体" w:hAnsi="宋体" w:cs="宋体"/>
          <w:color w:val="auto"/>
          <w:sz w:val="24"/>
          <w:highlight w:val="none"/>
          <w:lang w:eastAsia="zh-CN"/>
        </w:rPr>
        <w:t>）</w:t>
      </w:r>
      <w:r>
        <w:rPr>
          <w:rFonts w:hint="eastAsia" w:ascii="宋体" w:hAnsi="宋体" w:cs="宋体"/>
          <w:color w:val="auto"/>
          <w:sz w:val="24"/>
          <w:highlight w:val="none"/>
        </w:rPr>
        <w:t>本项目最高限价的。</w:t>
      </w:r>
    </w:p>
    <w:p w14:paraId="3D42E41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（7）同一投标供应商提交两个及以上不同的投标文件或者投标报价，但</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文件要求提交备选投标的除外；</w:t>
      </w:r>
    </w:p>
    <w:p w14:paraId="36ADB6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（8）不同投标供应商委托同一个人办理投标事宜的，不同投标供应商的投标文件载明的项目管理成员为同一人的，不同投标供应商的投标文件异常一致的；</w:t>
      </w:r>
    </w:p>
    <w:p w14:paraId="0B6EE6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（9）投标文件载明的招标项目完成期限超过</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文件规定的期限的；</w:t>
      </w:r>
    </w:p>
    <w:p w14:paraId="11F9CE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（10）明显不符合技术规范、技术标准的要求的；</w:t>
      </w:r>
    </w:p>
    <w:p w14:paraId="798A54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（11）投标文件提出了不能满足</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文件要求或</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人不能接受的工程验收、计量、价款结算和支付办法的；</w:t>
      </w:r>
    </w:p>
    <w:p w14:paraId="3EB345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（12）不同投标供应商的投标文件以及投标文件制作过程出现了评标委员会认为不应当雷同的情况的；</w:t>
      </w:r>
    </w:p>
    <w:p w14:paraId="15E1EC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（13）以他人的名义投标、串通投标、以行贿手段谋取中标或者以其他弄虚作假方式投标的；</w:t>
      </w:r>
    </w:p>
    <w:p w14:paraId="0CE698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（14）投标文件未按</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文件格式要求填写、内容不全、关键内容模糊、无法辨认的。</w:t>
      </w:r>
    </w:p>
    <w:p w14:paraId="28DD55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文件规定的其他无效标情形。</w:t>
      </w:r>
    </w:p>
    <w:p w14:paraId="5AC2E85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2.符合下列情形之一者，本</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项目废标：</w:t>
      </w:r>
    </w:p>
    <w:p w14:paraId="26AF37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（1）合格投标供应商不足三家的；</w:t>
      </w:r>
    </w:p>
    <w:p w14:paraId="44DB7D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（2）所有合格投标供应商的报价均超过最高限价的；</w:t>
      </w:r>
    </w:p>
    <w:p w14:paraId="2209DE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（3）出现影响公正的违法、违规行为的；</w:t>
      </w:r>
    </w:p>
    <w:p w14:paraId="78F328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（4）因重大变故，本</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任务取消的。</w:t>
      </w:r>
    </w:p>
    <w:p w14:paraId="08ABEBC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五.报价要求</w:t>
      </w:r>
    </w:p>
    <w:p w14:paraId="371164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1.投标供应商法定代表人或法定代表授权委托人必须按</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文件的要求在投标截止时间前提交投标文件。</w:t>
      </w:r>
    </w:p>
    <w:p w14:paraId="7E8DFE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2.投标单位系统内提交的投标文件和投标供应商法定代表人或法定代表授权委托人签署的文件、资料的有效期为45个日历日。</w:t>
      </w:r>
    </w:p>
    <w:p w14:paraId="53BAB5FF">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3.</w:t>
      </w:r>
      <w:r>
        <w:rPr>
          <w:rFonts w:hint="eastAsia" w:ascii="宋体" w:hAnsi="宋体" w:cs="宋体"/>
          <w:color w:val="auto"/>
          <w:sz w:val="24"/>
          <w:highlight w:val="none"/>
        </w:rPr>
        <w:t>投标报价包括</w:t>
      </w:r>
      <w:r>
        <w:rPr>
          <w:rFonts w:hint="eastAsia" w:ascii="宋体" w:hAnsi="宋体" w:cs="宋体"/>
          <w:color w:val="auto"/>
          <w:sz w:val="24"/>
          <w:highlight w:val="none"/>
          <w:lang w:val="en-US" w:eastAsia="zh-CN"/>
        </w:rPr>
        <w:t>为完成本项目所需的一切费用</w:t>
      </w:r>
      <w:r>
        <w:rPr>
          <w:rFonts w:hint="eastAsia" w:ascii="宋体" w:hAnsi="宋体" w:cs="宋体"/>
          <w:color w:val="auto"/>
          <w:sz w:val="24"/>
          <w:highlight w:val="none"/>
        </w:rPr>
        <w:t>，且为最终报价。</w:t>
      </w:r>
    </w:p>
    <w:p w14:paraId="6A1C8F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4.本项目为一个完整标的，</w:t>
      </w:r>
      <w:r>
        <w:rPr>
          <w:rFonts w:hint="eastAsia" w:ascii="宋体" w:hAnsi="宋体" w:cs="宋体"/>
          <w:color w:val="auto"/>
          <w:sz w:val="24"/>
          <w:highlight w:val="none"/>
          <w:lang w:val="en-US" w:eastAsia="zh-CN"/>
        </w:rPr>
        <w:t>评标</w:t>
      </w:r>
      <w:r>
        <w:rPr>
          <w:rFonts w:hint="eastAsia" w:ascii="宋体" w:hAnsi="宋体" w:cs="宋体"/>
          <w:color w:val="auto"/>
          <w:sz w:val="24"/>
          <w:highlight w:val="none"/>
        </w:rPr>
        <w:t>小组不接受有选择性、不完整或不正确的报价。</w:t>
      </w:r>
    </w:p>
    <w:p w14:paraId="76CEB7E1">
      <w:pPr>
        <w:spacing w:line="360" w:lineRule="auto"/>
        <w:ind w:firstLine="480" w:firstLineChars="200"/>
        <w:rPr>
          <w:rFonts w:hint="eastAsia" w:ascii="宋体" w:hAnsi="宋体"/>
          <w:b/>
          <w:bCs/>
          <w:color w:val="auto"/>
          <w:sz w:val="24"/>
          <w:szCs w:val="24"/>
          <w:highlight w:val="none"/>
        </w:rPr>
      </w:pPr>
      <w:r>
        <w:rPr>
          <w:rFonts w:hint="eastAsia" w:ascii="宋体" w:hAnsi="宋体"/>
          <w:color w:val="auto"/>
          <w:sz w:val="24"/>
          <w:szCs w:val="24"/>
          <w:highlight w:val="none"/>
        </w:rPr>
        <w:t>5.本项目只允许一个报价，</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人不接受任何有选择性的报价。</w:t>
      </w:r>
      <w:r>
        <w:rPr>
          <w:rFonts w:hint="eastAsia" w:ascii="宋体" w:hAnsi="宋体"/>
          <w:b/>
          <w:bCs/>
          <w:color w:val="auto"/>
          <w:sz w:val="24"/>
          <w:szCs w:val="24"/>
          <w:highlight w:val="none"/>
          <w:lang w:val="en-US" w:eastAsia="zh-CN"/>
        </w:rPr>
        <w:t>本项目</w:t>
      </w:r>
      <w:r>
        <w:rPr>
          <w:rFonts w:hint="eastAsia" w:ascii="宋体" w:hAnsi="宋体"/>
          <w:b/>
          <w:bCs/>
          <w:color w:val="auto"/>
          <w:sz w:val="24"/>
          <w:szCs w:val="24"/>
          <w:highlight w:val="none"/>
        </w:rPr>
        <w:t xml:space="preserve">报价方式：报三年物业管理服务总价（前期介入服务费用+三年物业服务费用+前期地下车位服务费），并单列前期介入服务费金额。   </w:t>
      </w:r>
    </w:p>
    <w:p w14:paraId="4A34CCBA">
      <w:pPr>
        <w:spacing w:line="360" w:lineRule="auto"/>
        <w:ind w:firstLine="482" w:firstLineChars="200"/>
        <w:rPr>
          <w:rFonts w:ascii="宋体" w:hAnsi="宋体" w:cs="宋体"/>
          <w:b/>
          <w:bCs/>
          <w:color w:val="auto"/>
          <w:sz w:val="24"/>
          <w:highlight w:val="none"/>
        </w:rPr>
      </w:pPr>
      <w:r>
        <w:rPr>
          <w:rFonts w:hint="eastAsia" w:ascii="宋体" w:hAnsi="宋体"/>
          <w:b/>
          <w:bCs/>
          <w:color w:val="auto"/>
          <w:sz w:val="24"/>
          <w:szCs w:val="24"/>
          <w:highlight w:val="none"/>
        </w:rPr>
        <w:t>注：投标报价不包括公共能耗费（公共能耗费按0.5元/平方米/月预收，多退少补）。</w:t>
      </w:r>
    </w:p>
    <w:p w14:paraId="7340B4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6.报价应书写端正、字迹清楚、不得涂改（涂改无效）。</w:t>
      </w:r>
      <w:r>
        <w:rPr>
          <w:rFonts w:hint="eastAsia" w:ascii="宋体" w:hAnsi="宋体" w:cs="宋体"/>
          <w:color w:val="auto"/>
          <w:sz w:val="24"/>
          <w:highlight w:val="none"/>
          <w:lang w:val="en-US" w:eastAsia="zh-CN"/>
        </w:rPr>
        <w:t>评标</w:t>
      </w:r>
      <w:r>
        <w:rPr>
          <w:rFonts w:hint="eastAsia" w:ascii="宋体" w:hAnsi="宋体" w:cs="宋体"/>
          <w:color w:val="auto"/>
          <w:sz w:val="24"/>
          <w:highlight w:val="none"/>
        </w:rPr>
        <w:t>小组有权将未按规定填写的报价单视为无效报价单。</w:t>
      </w:r>
    </w:p>
    <w:p w14:paraId="1B3EB4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.如</w:t>
      </w:r>
      <w:r>
        <w:rPr>
          <w:rFonts w:hint="eastAsia" w:ascii="宋体" w:hAnsi="宋体" w:cs="宋体"/>
          <w:color w:val="auto"/>
          <w:sz w:val="24"/>
          <w:highlight w:val="none"/>
          <w:lang w:val="en-US" w:eastAsia="zh-CN"/>
        </w:rPr>
        <w:t>评标</w:t>
      </w:r>
      <w:r>
        <w:rPr>
          <w:rFonts w:hint="eastAsia" w:ascii="宋体" w:hAnsi="宋体" w:cs="宋体"/>
          <w:color w:val="auto"/>
          <w:sz w:val="24"/>
          <w:highlight w:val="none"/>
        </w:rPr>
        <w:t>小组认为总报价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w:t>
      </w:r>
      <w:r>
        <w:rPr>
          <w:rFonts w:hint="eastAsia" w:ascii="宋体" w:hAnsi="宋体" w:cs="宋体"/>
          <w:color w:val="auto"/>
          <w:sz w:val="24"/>
          <w:highlight w:val="none"/>
          <w:lang w:val="en-US" w:eastAsia="zh-CN"/>
        </w:rPr>
        <w:t>评标</w:t>
      </w:r>
      <w:r>
        <w:rPr>
          <w:rFonts w:hint="eastAsia" w:ascii="宋体" w:hAnsi="宋体" w:cs="宋体"/>
          <w:color w:val="auto"/>
          <w:sz w:val="24"/>
          <w:highlight w:val="none"/>
        </w:rPr>
        <w:t>小组有权取消其成交资格，按顺序由总报价次低的供应商递补，以此类推。</w:t>
      </w:r>
    </w:p>
    <w:p w14:paraId="0A5D4F67">
      <w:pPr>
        <w:spacing w:line="360" w:lineRule="auto"/>
        <w:ind w:firstLine="357" w:firstLineChars="148"/>
        <w:rPr>
          <w:rFonts w:ascii="宋体" w:hAnsi="宋体" w:cs="宋体"/>
          <w:b/>
          <w:color w:val="auto"/>
          <w:sz w:val="24"/>
          <w:highlight w:val="none"/>
        </w:rPr>
      </w:pPr>
      <w:r>
        <w:rPr>
          <w:rFonts w:hint="eastAsia" w:ascii="宋体" w:hAnsi="宋体" w:cs="宋体"/>
          <w:b/>
          <w:color w:val="auto"/>
          <w:sz w:val="24"/>
          <w:highlight w:val="none"/>
        </w:rPr>
        <w:t>六.投标要求</w:t>
      </w:r>
    </w:p>
    <w:p w14:paraId="19E57D07">
      <w:pPr>
        <w:tabs>
          <w:tab w:val="left" w:pos="900"/>
        </w:tabs>
        <w:spacing w:line="360" w:lineRule="auto"/>
        <w:ind w:firstLine="480" w:firstLineChars="200"/>
        <w:contextualSpacing/>
        <w:rPr>
          <w:rFonts w:ascii="宋体" w:hAnsi="宋体" w:cs="宋体"/>
          <w:bCs/>
          <w:color w:val="auto"/>
          <w:sz w:val="24"/>
          <w:szCs w:val="24"/>
          <w:highlight w:val="none"/>
        </w:rPr>
      </w:pPr>
      <w:r>
        <w:rPr>
          <w:rFonts w:hint="eastAsia" w:ascii="宋体" w:hAnsi="宋体" w:cs="宋体"/>
          <w:bCs/>
          <w:color w:val="auto"/>
          <w:sz w:val="24"/>
          <w:szCs w:val="24"/>
          <w:highlight w:val="none"/>
        </w:rPr>
        <w:t>1.投标文件：投标供应商必须按照本</w:t>
      </w:r>
      <w:r>
        <w:rPr>
          <w:rFonts w:hint="eastAsia" w:ascii="宋体" w:hAnsi="宋体" w:cs="宋体"/>
          <w:bCs/>
          <w:color w:val="auto"/>
          <w:sz w:val="24"/>
          <w:szCs w:val="24"/>
          <w:highlight w:val="none"/>
          <w:lang w:val="en-US" w:eastAsia="zh-CN"/>
        </w:rPr>
        <w:t>招标</w:t>
      </w:r>
      <w:r>
        <w:rPr>
          <w:rFonts w:hint="eastAsia" w:ascii="宋体" w:hAnsi="宋体" w:cs="宋体"/>
          <w:bCs/>
          <w:color w:val="auto"/>
          <w:sz w:val="24"/>
          <w:szCs w:val="24"/>
          <w:highlight w:val="none"/>
        </w:rPr>
        <w:t>文件要求制作投标文件，投标文件内容见“第四部分  投标文件格式”。</w:t>
      </w:r>
    </w:p>
    <w:p w14:paraId="51CE9A83">
      <w:pPr>
        <w:spacing w:line="360" w:lineRule="auto"/>
        <w:ind w:firstLine="482"/>
        <w:rPr>
          <w:rFonts w:ascii="宋体" w:hAnsi="宋体" w:cs="宋体"/>
          <w:color w:val="auto"/>
          <w:sz w:val="24"/>
          <w:szCs w:val="24"/>
          <w:highlight w:val="none"/>
        </w:rPr>
      </w:pPr>
      <w:r>
        <w:rPr>
          <w:rFonts w:hint="eastAsia" w:ascii="宋体" w:hAnsi="宋体" w:cs="宋体"/>
          <w:color w:val="auto"/>
          <w:sz w:val="24"/>
          <w:szCs w:val="24"/>
          <w:highlight w:val="none"/>
        </w:rPr>
        <w:t>2.本项目不收取投标保证金。</w:t>
      </w:r>
    </w:p>
    <w:p w14:paraId="13409533">
      <w:pPr>
        <w:spacing w:line="360" w:lineRule="auto"/>
        <w:ind w:firstLine="480" w:firstLineChars="200"/>
        <w:rPr>
          <w:rFonts w:ascii="宋体" w:hAnsi="宋体" w:cs="宋体"/>
          <w:b/>
          <w:color w:val="auto"/>
          <w:kern w:val="0"/>
          <w:sz w:val="24"/>
          <w:szCs w:val="22"/>
          <w:highlight w:val="none"/>
        </w:rPr>
      </w:pPr>
      <w:r>
        <w:rPr>
          <w:rFonts w:hint="eastAsia" w:ascii="宋体" w:hAnsi="宋体" w:cs="宋体"/>
          <w:bCs/>
          <w:color w:val="auto"/>
          <w:sz w:val="24"/>
          <w:szCs w:val="24"/>
          <w:highlight w:val="none"/>
          <w:lang w:val="en-US" w:eastAsia="zh-CN"/>
        </w:rPr>
        <w:t>3</w:t>
      </w:r>
      <w:r>
        <w:rPr>
          <w:rFonts w:hint="eastAsia" w:ascii="宋体" w:hAnsi="宋体" w:cs="宋体"/>
          <w:bCs/>
          <w:color w:val="auto"/>
          <w:sz w:val="24"/>
          <w:szCs w:val="24"/>
          <w:highlight w:val="none"/>
        </w:rPr>
        <w:t>.其他编制要求：本</w:t>
      </w:r>
      <w:r>
        <w:rPr>
          <w:rFonts w:hint="eastAsia" w:ascii="宋体" w:hAnsi="宋体" w:cs="宋体"/>
          <w:bCs/>
          <w:color w:val="auto"/>
          <w:sz w:val="24"/>
          <w:szCs w:val="24"/>
          <w:highlight w:val="none"/>
          <w:lang w:val="en-US" w:eastAsia="zh-CN"/>
        </w:rPr>
        <w:t>项目</w:t>
      </w:r>
      <w:r>
        <w:rPr>
          <w:rFonts w:hint="eastAsia" w:ascii="宋体" w:hAnsi="宋体" w:cs="宋体"/>
          <w:bCs/>
          <w:color w:val="auto"/>
          <w:sz w:val="24"/>
          <w:szCs w:val="24"/>
          <w:highlight w:val="none"/>
        </w:rPr>
        <w:t>投标时需</w:t>
      </w:r>
      <w:r>
        <w:rPr>
          <w:rFonts w:hint="eastAsia" w:ascii="宋体" w:hAnsi="宋体" w:cs="宋体"/>
          <w:bCs/>
          <w:color w:val="auto"/>
          <w:sz w:val="24"/>
          <w:szCs w:val="24"/>
          <w:highlight w:val="none"/>
          <w:lang w:val="en-US" w:eastAsia="zh-CN"/>
        </w:rPr>
        <w:t>抵达开标现场，并按招标文件要求</w:t>
      </w:r>
      <w:r>
        <w:rPr>
          <w:rFonts w:hint="eastAsia" w:ascii="宋体" w:hAnsi="宋体" w:cs="宋体"/>
          <w:bCs/>
          <w:color w:val="auto"/>
          <w:sz w:val="24"/>
          <w:szCs w:val="24"/>
          <w:highlight w:val="none"/>
        </w:rPr>
        <w:t>提供纸质投标文件。</w:t>
      </w:r>
    </w:p>
    <w:p w14:paraId="6A1CA53E">
      <w:pPr>
        <w:spacing w:line="440" w:lineRule="exact"/>
        <w:ind w:firstLine="472" w:firstLineChars="196"/>
        <w:rPr>
          <w:rFonts w:hint="eastAsia" w:ascii="宋体" w:hAnsi="宋体" w:cs="宋体"/>
          <w:b/>
          <w:color w:val="auto"/>
          <w:kern w:val="0"/>
          <w:sz w:val="24"/>
          <w:highlight w:val="none"/>
        </w:rPr>
      </w:pPr>
      <w:r>
        <w:rPr>
          <w:rFonts w:hint="eastAsia" w:ascii="宋体" w:hAnsi="宋体" w:cs="宋体"/>
          <w:b/>
          <w:color w:val="auto"/>
          <w:sz w:val="24"/>
          <w:highlight w:val="none"/>
        </w:rPr>
        <w:t>七、</w:t>
      </w:r>
      <w:r>
        <w:rPr>
          <w:rFonts w:hint="eastAsia" w:ascii="宋体" w:hAnsi="宋体" w:cs="宋体"/>
          <w:b/>
          <w:bCs/>
          <w:color w:val="auto"/>
          <w:sz w:val="24"/>
          <w:highlight w:val="none"/>
        </w:rPr>
        <w:t>详细的投标报价书（必须有投标报价明细表或分项报价）</w:t>
      </w:r>
      <w:r>
        <w:rPr>
          <w:rFonts w:hint="eastAsia" w:ascii="宋体" w:hAnsi="宋体" w:cs="宋体"/>
          <w:color w:val="auto"/>
          <w:sz w:val="24"/>
          <w:highlight w:val="none"/>
        </w:rPr>
        <w:t>。必须分别测算报价，后算得总价。投标报价为三年总费用，包括所有人员的工资、福利、保险、服装、通信工具、所有依法应缴纳的社会保险、清洁消毒剂、劳保用品、防护用品、垃圾袋及完成该项目所需清洁等必须工具；物业管理区域内清洁卫生费；物业共用部位、共用设施设备的维护费用</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包含电梯维保费、检测费用和消防维保费用由乙方承担(含 1000 元及以内的单台电梯单次配件更换维修费)。</w:t>
      </w:r>
      <w:r>
        <w:rPr>
          <w:rFonts w:hint="eastAsia" w:ascii="宋体" w:hAnsi="宋体" w:cs="宋体"/>
          <w:b/>
          <w:bCs/>
          <w:color w:val="auto"/>
          <w:sz w:val="24"/>
          <w:highlight w:val="none"/>
          <w:lang w:eastAsia="zh-CN"/>
        </w:rPr>
        <w:t>】</w:t>
      </w:r>
      <w:r>
        <w:rPr>
          <w:rFonts w:hint="eastAsia" w:ascii="宋体" w:hAnsi="宋体" w:cs="宋体"/>
          <w:color w:val="auto"/>
          <w:sz w:val="24"/>
          <w:highlight w:val="none"/>
        </w:rPr>
        <w:t>；物业服务企业办公费；合理利润；物业服务企业固定资产折旧费；</w:t>
      </w:r>
      <w:r>
        <w:rPr>
          <w:rFonts w:hint="eastAsia" w:ascii="宋体" w:hAnsi="宋体" w:cs="宋体"/>
          <w:color w:val="auto"/>
          <w:sz w:val="24"/>
          <w:highlight w:val="none"/>
          <w:lang w:val="en-US" w:eastAsia="zh-CN"/>
        </w:rPr>
        <w:t>空置房定期查验清扫、</w:t>
      </w:r>
      <w:r>
        <w:rPr>
          <w:rFonts w:hint="eastAsia" w:ascii="宋体" w:hAnsi="宋体" w:cs="宋体"/>
          <w:color w:val="auto"/>
          <w:sz w:val="24"/>
          <w:highlight w:val="none"/>
        </w:rPr>
        <w:t>一切税费等招标文件要求的所有费用。投标方应根据招标文件的要求写明本项目的物业管理总收费报价金额，并注明不同房屋类型收费单价。前期物业介入费包含物业开办费及办公物资费。物业服务费投标总报价包括电梯维保、</w:t>
      </w:r>
      <w:r>
        <w:rPr>
          <w:rFonts w:hint="eastAsia" w:ascii="宋体" w:hAnsi="宋体" w:cs="宋体"/>
          <w:color w:val="auto"/>
          <w:sz w:val="24"/>
          <w:highlight w:val="none"/>
          <w:lang w:eastAsia="zh-CN"/>
        </w:rPr>
        <w:t>电梯年检、智能化维保、消防维保（</w:t>
      </w:r>
      <w:r>
        <w:rPr>
          <w:rFonts w:hint="eastAsia" w:ascii="宋体" w:hAnsi="宋体" w:cs="宋体"/>
          <w:color w:val="auto"/>
          <w:sz w:val="24"/>
          <w:highlight w:val="none"/>
        </w:rPr>
        <w:t>维保设备包括</w:t>
      </w:r>
      <w:r>
        <w:rPr>
          <w:rFonts w:hint="eastAsia" w:ascii="宋体" w:hAnsi="宋体" w:cs="宋体"/>
          <w:color w:val="auto"/>
          <w:sz w:val="24"/>
          <w:highlight w:val="none"/>
          <w:lang w:val="en-US" w:eastAsia="zh-CN"/>
        </w:rPr>
        <w:t>但不限于</w:t>
      </w:r>
      <w:r>
        <w:rPr>
          <w:rFonts w:hint="eastAsia" w:ascii="宋体" w:hAnsi="宋体" w:cs="宋体"/>
          <w:color w:val="auto"/>
          <w:sz w:val="24"/>
          <w:highlight w:val="none"/>
        </w:rPr>
        <w:t>：（1）消防供配电设施；（2）火灾自动报警系统（3）消防供水设施；（4）消火栓（消防炮）灭火系统；（5）自动喷水灭火系统；（6）可燃气体探测报警系统；（7）气体灭火系统；（8）防排烟系统；（9）火灾应急照明和疏散指示标志；（10）应急广播系统；（11）消防专用电话；（12）防火分隔设施；（13）消防电梯</w:t>
      </w:r>
      <w:r>
        <w:rPr>
          <w:rFonts w:hint="eastAsia" w:ascii="宋体" w:hAnsi="宋体" w:cs="宋体"/>
          <w:color w:val="auto"/>
          <w:sz w:val="24"/>
          <w:highlight w:val="none"/>
          <w:lang w:eastAsia="zh-CN"/>
        </w:rPr>
        <w:t>及担架电梯</w:t>
      </w:r>
      <w:r>
        <w:rPr>
          <w:rFonts w:hint="eastAsia" w:ascii="宋体" w:hAnsi="宋体" w:cs="宋体"/>
          <w:color w:val="auto"/>
          <w:sz w:val="24"/>
          <w:highlight w:val="none"/>
        </w:rPr>
        <w:t>；（14）电气火灾监控系统；（15）灭火器；（16）其他建筑消防设施；（17）生活水泵，污水泵的设备维保）、防雷检测等费用。</w:t>
      </w:r>
      <w:r>
        <w:rPr>
          <w:rFonts w:hint="eastAsia" w:ascii="宋体" w:hAnsi="宋体" w:cs="宋体"/>
          <w:b/>
          <w:color w:val="auto"/>
          <w:kern w:val="0"/>
          <w:sz w:val="24"/>
          <w:highlight w:val="none"/>
        </w:rPr>
        <w:t>共用的电梯、水泵、监控机房等设施设备运行电费及公共照明、公共用水等公共能耗费由业主分摊</w:t>
      </w:r>
      <w:r>
        <w:rPr>
          <w:rFonts w:hint="eastAsia" w:ascii="宋体" w:hAnsi="宋体" w:cs="宋体"/>
          <w:b/>
          <w:color w:val="auto"/>
          <w:kern w:val="0"/>
          <w:sz w:val="24"/>
          <w:highlight w:val="none"/>
          <w:lang w:eastAsia="zh-CN"/>
        </w:rPr>
        <w:t>（注：</w:t>
      </w:r>
      <w:r>
        <w:rPr>
          <w:rFonts w:hint="eastAsia" w:hAnsi="宋体" w:cs="宋体"/>
          <w:b/>
          <w:bCs w:val="0"/>
          <w:color w:val="auto"/>
          <w:kern w:val="2"/>
          <w:sz w:val="24"/>
          <w:szCs w:val="24"/>
          <w:highlight w:val="none"/>
          <w:lang w:val="en-US" w:eastAsia="zh-CN" w:bidi="ar-SA"/>
        </w:rPr>
        <w:t>不包括公共能耗费（公共能耗费0.5元</w:t>
      </w:r>
      <w:r>
        <w:rPr>
          <w:rFonts w:hint="eastAsia" w:ascii="宋体" w:hAnsi="宋体" w:eastAsia="宋体" w:cs="宋体"/>
          <w:b/>
          <w:bCs w:val="0"/>
          <w:color w:val="auto"/>
          <w:kern w:val="2"/>
          <w:sz w:val="24"/>
          <w:szCs w:val="24"/>
          <w:highlight w:val="none"/>
          <w:lang w:val="en-US" w:eastAsia="zh-CN" w:bidi="ar-SA"/>
        </w:rPr>
        <w:t>/平方米/</w:t>
      </w:r>
      <w:r>
        <w:rPr>
          <w:rFonts w:hint="eastAsia" w:ascii="宋体" w:hAnsi="宋体" w:cs="宋体"/>
          <w:b/>
          <w:bCs w:val="0"/>
          <w:color w:val="auto"/>
          <w:kern w:val="2"/>
          <w:sz w:val="24"/>
          <w:szCs w:val="24"/>
          <w:highlight w:val="none"/>
          <w:lang w:val="en-US" w:eastAsia="zh-CN" w:bidi="ar-SA"/>
        </w:rPr>
        <w:t>月</w:t>
      </w:r>
      <w:r>
        <w:rPr>
          <w:rFonts w:hint="eastAsia" w:hAnsi="宋体" w:cs="宋体"/>
          <w:b/>
          <w:bCs w:val="0"/>
          <w:color w:val="auto"/>
          <w:kern w:val="2"/>
          <w:sz w:val="24"/>
          <w:szCs w:val="24"/>
          <w:highlight w:val="none"/>
          <w:lang w:val="en-US" w:eastAsia="zh-CN" w:bidi="ar-SA"/>
        </w:rPr>
        <w:t>，多退少补）</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w:t>
      </w:r>
    </w:p>
    <w:p w14:paraId="2D14ED4F">
      <w:pPr>
        <w:spacing w:line="440" w:lineRule="exact"/>
        <w:ind w:firstLine="470" w:firstLineChars="196"/>
        <w:rPr>
          <w:rFonts w:ascii="宋体" w:hAnsi="宋体" w:cs="宋体"/>
          <w:bCs/>
          <w:color w:val="auto"/>
          <w:sz w:val="24"/>
          <w:szCs w:val="24"/>
          <w:highlight w:val="none"/>
        </w:rPr>
      </w:pPr>
      <w:r>
        <w:rPr>
          <w:rFonts w:hint="eastAsia" w:ascii="宋体" w:hAnsi="宋体" w:cs="宋体"/>
          <w:color w:val="auto"/>
          <w:sz w:val="24"/>
          <w:highlight w:val="none"/>
        </w:rPr>
        <w:t>人防地下室的车位按相关文件执行，物业公司不得私自租售。</w:t>
      </w:r>
    </w:p>
    <w:p w14:paraId="22C51455">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八.其它说明</w:t>
      </w:r>
    </w:p>
    <w:p w14:paraId="6226C20B">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1.无论本次</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的过程和结果如何，投标供应商自行承担所有与本次</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有关的全部费用。</w:t>
      </w:r>
    </w:p>
    <w:p w14:paraId="6AD67AC7">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2．成交供应商签订合同前须向</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人缴纳合同项目总价的5%（现金或银行转账）作为履约保证金，履约保证金在</w:t>
      </w:r>
      <w:r>
        <w:rPr>
          <w:rFonts w:hint="eastAsia" w:ascii="宋体" w:hAnsi="宋体"/>
          <w:color w:val="auto"/>
          <w:sz w:val="24"/>
          <w:szCs w:val="24"/>
          <w:highlight w:val="none"/>
          <w:lang w:val="en-US" w:eastAsia="zh-CN"/>
        </w:rPr>
        <w:t>三年物业服务期满且经招标人验收合同后</w:t>
      </w:r>
      <w:r>
        <w:rPr>
          <w:rFonts w:hint="eastAsia" w:ascii="宋体" w:hAnsi="宋体"/>
          <w:color w:val="auto"/>
          <w:sz w:val="24"/>
          <w:szCs w:val="24"/>
          <w:highlight w:val="none"/>
        </w:rPr>
        <w:t>，扣除有关违约金及相关费用后一次性退还（不计息）。</w:t>
      </w:r>
    </w:p>
    <w:p w14:paraId="46D0AA4C">
      <w:pPr>
        <w:spacing w:line="440" w:lineRule="exact"/>
        <w:ind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文件的修改将构成</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文件的一部分，对投标供应商具有约束力。</w:t>
      </w:r>
    </w:p>
    <w:p w14:paraId="1B498659">
      <w:pPr>
        <w:spacing w:line="440" w:lineRule="exact"/>
        <w:rPr>
          <w:rFonts w:ascii="宋体" w:hAnsi="宋体"/>
          <w:color w:val="auto"/>
          <w:sz w:val="24"/>
          <w:szCs w:val="24"/>
          <w:highlight w:val="none"/>
          <w:lang w:val="zh-CN"/>
        </w:rPr>
      </w:pPr>
      <w:r>
        <w:rPr>
          <w:rFonts w:hint="eastAsia" w:ascii="宋体" w:hAnsi="宋体"/>
          <w:color w:val="auto"/>
          <w:sz w:val="24"/>
          <w:szCs w:val="24"/>
          <w:highlight w:val="none"/>
        </w:rPr>
        <w:t xml:space="preserve">    4．</w:t>
      </w:r>
      <w:r>
        <w:rPr>
          <w:rFonts w:hint="eastAsia" w:ascii="宋体" w:hAnsi="宋体"/>
          <w:color w:val="auto"/>
          <w:sz w:val="24"/>
          <w:szCs w:val="24"/>
          <w:highlight w:val="none"/>
          <w:lang w:val="zh-CN"/>
        </w:rPr>
        <w:t>成交供应商</w:t>
      </w:r>
      <w:r>
        <w:rPr>
          <w:rFonts w:hint="eastAsia" w:ascii="宋体" w:hAnsi="宋体"/>
          <w:color w:val="auto"/>
          <w:sz w:val="24"/>
          <w:szCs w:val="24"/>
          <w:highlight w:val="none"/>
        </w:rPr>
        <w:t>应根据国家、省、市、工程所在地政府及相关部门的规定缴纳有关费用，该费用已包含在报价中，</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人不另行给付，费用缴纳的标准</w:t>
      </w:r>
      <w:r>
        <w:rPr>
          <w:rFonts w:hint="eastAsia" w:ascii="宋体" w:hAnsi="宋体"/>
          <w:color w:val="auto"/>
          <w:sz w:val="24"/>
          <w:szCs w:val="24"/>
          <w:highlight w:val="none"/>
          <w:lang w:val="zh-CN"/>
        </w:rPr>
        <w:t>成交供应商</w:t>
      </w:r>
      <w:r>
        <w:rPr>
          <w:rFonts w:hint="eastAsia" w:ascii="宋体" w:hAnsi="宋体"/>
          <w:color w:val="auto"/>
          <w:sz w:val="24"/>
          <w:szCs w:val="24"/>
          <w:highlight w:val="none"/>
        </w:rPr>
        <w:t>可向有关部门查询。</w:t>
      </w:r>
    </w:p>
    <w:p w14:paraId="1BDD21DD">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5．投标供应商如对本</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文件中的需求有疑问或不明之处，可与</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人联系，</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人对</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项目需求有解释权。</w:t>
      </w:r>
    </w:p>
    <w:p w14:paraId="5AEDACF1">
      <w:pPr>
        <w:spacing w:line="440" w:lineRule="exact"/>
        <w:rPr>
          <w:rFonts w:ascii="宋体" w:hAnsi="宋体"/>
          <w:color w:val="auto"/>
          <w:sz w:val="24"/>
          <w:szCs w:val="24"/>
          <w:highlight w:val="none"/>
        </w:rPr>
      </w:pPr>
      <w:r>
        <w:rPr>
          <w:rFonts w:hint="eastAsia" w:ascii="宋体" w:hAnsi="宋体"/>
          <w:color w:val="auto"/>
          <w:sz w:val="24"/>
          <w:szCs w:val="24"/>
          <w:highlight w:val="none"/>
        </w:rPr>
        <w:t xml:space="preserve">    6．投标供应商、合格投标供应商或成交供应商有下列情形之一的，按本</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文件及《政府采购法》等相关法律法规给予处罚：①在</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过程中，投标供应商有违法违规行为的；②投标供应商在投标有效期内撤回投标的；③成交供应商放弃中标资格的；④成交供应商不按规定签订合同的；⑤投标供应商或成交供应商有其他违反本</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文件及《政府采购法》等相关法律法规的行为的。</w:t>
      </w:r>
    </w:p>
    <w:p w14:paraId="0C299A14">
      <w:pPr>
        <w:spacing w:line="440" w:lineRule="exact"/>
        <w:ind w:firstLine="480"/>
        <w:rPr>
          <w:rFonts w:ascii="宋体" w:hAnsi="宋体" w:cs="宋体"/>
          <w:b/>
          <w:color w:val="auto"/>
          <w:sz w:val="32"/>
          <w:szCs w:val="32"/>
          <w:highlight w:val="none"/>
        </w:rPr>
      </w:pPr>
      <w:r>
        <w:rPr>
          <w:rFonts w:hint="eastAsia" w:ascii="宋体" w:hAnsi="宋体"/>
          <w:color w:val="auto"/>
          <w:sz w:val="24"/>
          <w:szCs w:val="24"/>
          <w:highlight w:val="none"/>
        </w:rPr>
        <w:t>7．</w:t>
      </w:r>
      <w:r>
        <w:rPr>
          <w:rFonts w:hint="eastAsia" w:ascii="宋体" w:hAnsi="宋体"/>
          <w:color w:val="auto"/>
          <w:sz w:val="24"/>
          <w:szCs w:val="24"/>
          <w:highlight w:val="none"/>
          <w:lang w:val="en-US" w:eastAsia="zh-CN"/>
        </w:rPr>
        <w:t>招标</w:t>
      </w:r>
      <w:r>
        <w:rPr>
          <w:rFonts w:hint="eastAsia" w:ascii="宋体" w:hAnsi="宋体"/>
          <w:color w:val="auto"/>
          <w:sz w:val="24"/>
          <w:szCs w:val="24"/>
          <w:highlight w:val="none"/>
        </w:rPr>
        <w:t>人不解释落标原因，不退还投标文件。</w:t>
      </w:r>
    </w:p>
    <w:p w14:paraId="7244DFDD">
      <w:pPr>
        <w:spacing w:line="440" w:lineRule="exact"/>
        <w:ind w:firstLine="482" w:firstLineChars="200"/>
        <w:rPr>
          <w:rFonts w:hint="default" w:ascii="宋体" w:hAnsi="宋体" w:eastAsia="宋体" w:cs="Times New Roman"/>
          <w:b/>
          <w:bCs/>
          <w:color w:val="auto"/>
          <w:sz w:val="24"/>
          <w:szCs w:val="24"/>
          <w:highlight w:val="none"/>
          <w:lang w:val="en-US" w:eastAsia="zh-CN"/>
        </w:rPr>
        <w:sectPr>
          <w:footerReference r:id="rId8" w:type="first"/>
          <w:headerReference r:id="rId6" w:type="default"/>
          <w:footerReference r:id="rId7" w:type="default"/>
          <w:pgSz w:w="11907" w:h="16840"/>
          <w:pgMar w:top="1531" w:right="1531" w:bottom="1531" w:left="1531" w:header="851" w:footer="992" w:gutter="0"/>
          <w:pgNumType w:fmt="numberInDash" w:start="1"/>
          <w:cols w:space="720" w:num="1"/>
          <w:titlePg/>
          <w:docGrid w:type="lines" w:linePitch="312" w:charSpace="0"/>
        </w:sectPr>
      </w:pPr>
      <w:r>
        <w:rPr>
          <w:rFonts w:hint="eastAsia" w:ascii="宋体" w:hAnsi="宋体" w:eastAsia="宋体" w:cs="Times New Roman"/>
          <w:b/>
          <w:bCs/>
          <w:color w:val="auto"/>
          <w:sz w:val="24"/>
          <w:szCs w:val="24"/>
          <w:highlight w:val="none"/>
          <w:lang w:val="en-US" w:eastAsia="zh-CN"/>
        </w:rPr>
        <w:t>8.开发公司对物业公司的物业服务工作实行专业对口监管和业务工作指导，每月对物业服务工作进行质量考核。为了保证物业服务的品质，促进和带动楼盘销售，杜绝挂靠、转让和被其他企业合并收购。招标单位有权要求中标单位须在合同签订签前缴纳履约保证金，合同期（3年）满后无息退还。如中标后在服务期中发现中标方有任何违约行为的，招标方有权取消其中标资格，没收履约保证金。给招标方造成的损失，由中标方赔偿。</w:t>
      </w:r>
    </w:p>
    <w:p w14:paraId="37A3C21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第四部分   投标文件格式</w:t>
      </w:r>
    </w:p>
    <w:p w14:paraId="25960F48">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一、投标文件的数量、制作</w:t>
      </w:r>
    </w:p>
    <w:p w14:paraId="0E4A88C3">
      <w:pPr>
        <w:adjustRightInd w:val="0"/>
        <w:snapToGrid w:val="0"/>
        <w:spacing w:line="360" w:lineRule="auto"/>
        <w:ind w:firstLine="480" w:firstLineChars="200"/>
        <w:jc w:val="left"/>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．投标文件分为资审文件和经济标文件两个部分。</w:t>
      </w:r>
    </w:p>
    <w:p w14:paraId="3F8E4E63">
      <w:pPr>
        <w:adjustRightInd w:val="0"/>
        <w:snapToGrid w:val="0"/>
        <w:spacing w:line="360" w:lineRule="auto"/>
        <w:ind w:firstLine="482" w:firstLineChars="200"/>
        <w:jc w:val="left"/>
        <w:rPr>
          <w:rFonts w:ascii="宋体" w:hAnsi="宋体"/>
          <w:b/>
          <w:bCs/>
          <w:color w:val="auto"/>
          <w:sz w:val="24"/>
          <w:szCs w:val="24"/>
          <w:highlight w:val="none"/>
        </w:rPr>
      </w:pPr>
      <w:r>
        <w:rPr>
          <w:rFonts w:hint="eastAsia" w:ascii="宋体" w:hAnsi="宋体"/>
          <w:b/>
          <w:bCs/>
          <w:color w:val="auto"/>
          <w:sz w:val="24"/>
          <w:szCs w:val="24"/>
          <w:highlight w:val="none"/>
        </w:rPr>
        <w:t>2. 投标文件数量: 资审文件：正本壹份、副本叁份。经济标文件：正本壹份、副本叁份。</w:t>
      </w:r>
    </w:p>
    <w:p w14:paraId="1DFBA2BA">
      <w:pPr>
        <w:adjustRightInd w:val="0"/>
        <w:snapToGrid w:val="0"/>
        <w:spacing w:line="360" w:lineRule="auto"/>
        <w:ind w:firstLine="482" w:firstLineChars="200"/>
        <w:jc w:val="left"/>
        <w:rPr>
          <w:rFonts w:ascii="宋体" w:hAnsi="宋体"/>
          <w:b/>
          <w:bCs/>
          <w:color w:val="auto"/>
          <w:sz w:val="24"/>
          <w:szCs w:val="24"/>
          <w:highlight w:val="none"/>
        </w:rPr>
      </w:pPr>
      <w:r>
        <w:rPr>
          <w:rFonts w:hint="eastAsia" w:ascii="宋体" w:hAnsi="宋体"/>
          <w:b/>
          <w:bCs/>
          <w:color w:val="auto"/>
          <w:sz w:val="24"/>
          <w:szCs w:val="24"/>
          <w:highlight w:val="none"/>
        </w:rPr>
        <w:t>3</w:t>
      </w:r>
      <w:r>
        <w:rPr>
          <w:rFonts w:ascii="宋体" w:hAnsi="宋体"/>
          <w:b/>
          <w:bCs/>
          <w:color w:val="auto"/>
          <w:sz w:val="24"/>
          <w:szCs w:val="24"/>
          <w:highlight w:val="none"/>
        </w:rPr>
        <w:t>.</w:t>
      </w:r>
      <w:r>
        <w:rPr>
          <w:rFonts w:hint="eastAsia" w:ascii="宋体" w:hAnsi="宋体"/>
          <w:b/>
          <w:bCs/>
          <w:color w:val="auto"/>
          <w:sz w:val="24"/>
          <w:szCs w:val="24"/>
          <w:highlight w:val="none"/>
        </w:rPr>
        <w:t>投标人应将“资审文件”、“经济标文件”分别进行密封，并在封袋上加盖投标人公章，同时在封袋上须注明采购项目名称、投标人全称、“资审文件”或“经济标文件”。</w:t>
      </w:r>
    </w:p>
    <w:p w14:paraId="0AF00DFB">
      <w:pPr>
        <w:adjustRightInd w:val="0"/>
        <w:snapToGrid w:val="0"/>
        <w:spacing w:line="360" w:lineRule="auto"/>
        <w:ind w:firstLine="482" w:firstLineChars="200"/>
        <w:jc w:val="left"/>
        <w:rPr>
          <w:rFonts w:ascii="宋体" w:hAnsi="宋体"/>
          <w:b/>
          <w:bCs/>
          <w:color w:val="auto"/>
          <w:sz w:val="24"/>
          <w:szCs w:val="24"/>
          <w:highlight w:val="none"/>
        </w:rPr>
      </w:pPr>
      <w:r>
        <w:rPr>
          <w:rFonts w:ascii="宋体" w:hAnsi="宋体"/>
          <w:b/>
          <w:bCs/>
          <w:color w:val="auto"/>
          <w:sz w:val="24"/>
          <w:szCs w:val="24"/>
          <w:highlight w:val="none"/>
        </w:rPr>
        <w:t>4</w:t>
      </w:r>
      <w:r>
        <w:rPr>
          <w:rFonts w:hint="eastAsia" w:ascii="宋体" w:hAnsi="宋体"/>
          <w:b/>
          <w:bCs/>
          <w:color w:val="auto"/>
          <w:sz w:val="24"/>
          <w:szCs w:val="24"/>
          <w:highlight w:val="none"/>
        </w:rPr>
        <w:t>、投标人可将“资审文件”的正副本统一密封，可也分别密封，若投标人将正副本分别密封，须在封面上注明“正本”或“副本”字样。</w:t>
      </w:r>
    </w:p>
    <w:p w14:paraId="5DD00CBB">
      <w:pPr>
        <w:adjustRightInd w:val="0"/>
        <w:snapToGrid w:val="0"/>
        <w:spacing w:line="360" w:lineRule="auto"/>
        <w:ind w:firstLine="482" w:firstLineChars="200"/>
        <w:jc w:val="left"/>
        <w:rPr>
          <w:rFonts w:ascii="宋体" w:hAnsi="宋体"/>
          <w:b/>
          <w:bCs/>
          <w:color w:val="auto"/>
          <w:sz w:val="24"/>
          <w:szCs w:val="24"/>
          <w:highlight w:val="none"/>
        </w:rPr>
      </w:pPr>
      <w:r>
        <w:rPr>
          <w:rFonts w:ascii="宋体" w:hAnsi="宋体"/>
          <w:b/>
          <w:bCs/>
          <w:color w:val="auto"/>
          <w:sz w:val="24"/>
          <w:szCs w:val="24"/>
          <w:highlight w:val="none"/>
        </w:rPr>
        <w:t>5</w:t>
      </w:r>
      <w:r>
        <w:rPr>
          <w:rFonts w:hint="eastAsia" w:ascii="宋体" w:hAnsi="宋体"/>
          <w:b/>
          <w:bCs/>
          <w:color w:val="auto"/>
          <w:sz w:val="24"/>
          <w:szCs w:val="24"/>
          <w:highlight w:val="none"/>
        </w:rPr>
        <w:t>、投标人可将“经济标文件”的正副本统一密封，可也分别密封，若投标人将正副本分别密封，须在封面上注明“正本”或“副本”字样。</w:t>
      </w:r>
    </w:p>
    <w:p w14:paraId="18868D1D">
      <w:pPr>
        <w:spacing w:line="360" w:lineRule="auto"/>
        <w:rPr>
          <w:rFonts w:ascii="宋体" w:hAnsi="宋体"/>
          <w:b/>
          <w:color w:val="auto"/>
          <w:sz w:val="24"/>
          <w:highlight w:val="none"/>
        </w:rPr>
      </w:pPr>
      <w:r>
        <w:rPr>
          <w:rFonts w:hint="eastAsia" w:ascii="宋体" w:hAnsi="宋体"/>
          <w:b/>
          <w:color w:val="auto"/>
          <w:sz w:val="24"/>
          <w:highlight w:val="none"/>
        </w:rPr>
        <w:t xml:space="preserve">    二、投标文件内容</w:t>
      </w:r>
    </w:p>
    <w:p w14:paraId="3DB6C999">
      <w:pPr>
        <w:adjustRightInd w:val="0"/>
        <w:snapToGrid w:val="0"/>
        <w:spacing w:line="360" w:lineRule="auto"/>
        <w:ind w:firstLine="480" w:firstLineChars="200"/>
        <w:jc w:val="left"/>
        <w:rPr>
          <w:rFonts w:ascii="宋体" w:hAnsi="宋体"/>
          <w:b/>
          <w:color w:val="auto"/>
          <w:sz w:val="24"/>
          <w:highlight w:val="none"/>
        </w:rPr>
      </w:pPr>
      <w:r>
        <w:rPr>
          <w:rFonts w:hint="eastAsia" w:ascii="宋体" w:hAnsi="宋体"/>
          <w:color w:val="auto"/>
          <w:sz w:val="24"/>
          <w:highlight w:val="none"/>
        </w:rPr>
        <w:t>投标文件（A资审文件和B经济标文件）必须按照以下格式制作（</w:t>
      </w:r>
      <w:r>
        <w:rPr>
          <w:rFonts w:hint="eastAsia" w:ascii="宋体" w:hAnsi="宋体"/>
          <w:color w:val="auto"/>
          <w:sz w:val="24"/>
          <w:highlight w:val="none"/>
          <w:lang w:val="en-US" w:eastAsia="zh-CN"/>
        </w:rPr>
        <w:t>招标</w:t>
      </w:r>
      <w:r>
        <w:rPr>
          <w:rFonts w:hint="eastAsia" w:ascii="宋体" w:hAnsi="宋体"/>
          <w:color w:val="auto"/>
          <w:sz w:val="24"/>
          <w:highlight w:val="none"/>
        </w:rPr>
        <w:t>文件后附的表格各投标供应商必须使用，不得更改，否则作无效标处理），资审文件部分须按照顺序进行编制。</w:t>
      </w:r>
      <w:r>
        <w:rPr>
          <w:rFonts w:hint="eastAsia" w:ascii="宋体" w:hAnsi="宋体"/>
          <w:b/>
          <w:color w:val="auto"/>
          <w:sz w:val="24"/>
          <w:highlight w:val="none"/>
        </w:rPr>
        <w:t>以下带*内容必须全部提供</w:t>
      </w:r>
      <w:r>
        <w:rPr>
          <w:rFonts w:hint="eastAsia" w:ascii="宋体" w:hAnsi="宋体"/>
          <w:b/>
          <w:color w:val="auto"/>
          <w:sz w:val="24"/>
          <w:highlight w:val="none"/>
          <w:lang w:eastAsia="zh-CN"/>
        </w:rPr>
        <w:t>，</w:t>
      </w:r>
      <w:r>
        <w:rPr>
          <w:rFonts w:hint="eastAsia" w:ascii="宋体" w:hAnsi="宋体" w:cs="宋体"/>
          <w:b/>
          <w:bCs/>
          <w:color w:val="auto"/>
          <w:sz w:val="24"/>
          <w:highlight w:val="none"/>
        </w:rPr>
        <w:t>并按格式规定加盖投标人红色实物公章及法定代表人印鉴章</w:t>
      </w:r>
      <w:r>
        <w:rPr>
          <w:rFonts w:hint="eastAsia" w:ascii="宋体" w:hAnsi="宋体"/>
          <w:b/>
          <w:color w:val="auto"/>
          <w:sz w:val="24"/>
          <w:szCs w:val="24"/>
          <w:highlight w:val="none"/>
        </w:rPr>
        <w:t>。</w:t>
      </w:r>
    </w:p>
    <w:p w14:paraId="6B5DD0CB">
      <w:pPr>
        <w:adjustRightInd w:val="0"/>
        <w:snapToGrid w:val="0"/>
        <w:spacing w:line="360" w:lineRule="auto"/>
        <w:ind w:firstLine="482" w:firstLineChars="200"/>
        <w:jc w:val="left"/>
        <w:rPr>
          <w:rFonts w:ascii="宋体" w:hAnsi="宋体"/>
          <w:b/>
          <w:color w:val="auto"/>
          <w:sz w:val="24"/>
          <w:highlight w:val="none"/>
        </w:rPr>
      </w:pPr>
      <w:r>
        <w:rPr>
          <w:rFonts w:hint="eastAsia" w:ascii="宋体" w:hAnsi="宋体"/>
          <w:b/>
          <w:color w:val="auto"/>
          <w:sz w:val="24"/>
          <w:highlight w:val="none"/>
        </w:rPr>
        <w:t>A、资审文件部分：</w:t>
      </w:r>
    </w:p>
    <w:p w14:paraId="6E2747EE">
      <w:pPr>
        <w:adjustRightInd w:val="0"/>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*1、投标函（格式见附件一）</w:t>
      </w:r>
    </w:p>
    <w:p w14:paraId="28168981">
      <w:pPr>
        <w:spacing w:line="360" w:lineRule="auto"/>
        <w:rPr>
          <w:rFonts w:ascii="宋体" w:hAnsi="宋体"/>
          <w:color w:val="auto"/>
          <w:sz w:val="24"/>
          <w:highlight w:val="none"/>
        </w:rPr>
      </w:pPr>
      <w:r>
        <w:rPr>
          <w:rFonts w:hint="eastAsia" w:ascii="宋体" w:hAnsi="宋体"/>
          <w:color w:val="auto"/>
          <w:sz w:val="24"/>
          <w:highlight w:val="none"/>
        </w:rPr>
        <w:t xml:space="preserve">    *2、法定代表人身份证明书（格式见附件二）</w:t>
      </w:r>
    </w:p>
    <w:p w14:paraId="727D9663">
      <w:pPr>
        <w:spacing w:line="360" w:lineRule="auto"/>
        <w:rPr>
          <w:rFonts w:ascii="宋体" w:hAnsi="宋体"/>
          <w:color w:val="auto"/>
          <w:sz w:val="24"/>
          <w:highlight w:val="none"/>
        </w:rPr>
      </w:pPr>
      <w:r>
        <w:rPr>
          <w:rFonts w:hint="eastAsia" w:ascii="宋体" w:hAnsi="宋体"/>
          <w:color w:val="auto"/>
          <w:sz w:val="24"/>
          <w:highlight w:val="none"/>
        </w:rPr>
        <w:t xml:space="preserve">    *3、法定代表人授权委托书（格式见附件三）</w:t>
      </w:r>
      <w:r>
        <w:rPr>
          <w:rFonts w:hint="eastAsia" w:ascii="宋体" w:hAnsi="宋体" w:cs="宋体"/>
          <w:color w:val="auto"/>
          <w:sz w:val="24"/>
          <w:szCs w:val="24"/>
          <w:highlight w:val="none"/>
        </w:rPr>
        <w:t>（如为法定代表人</w:t>
      </w:r>
      <w:r>
        <w:rPr>
          <w:rFonts w:hint="eastAsia" w:ascii="宋体" w:hAnsi="宋体" w:cs="宋体"/>
          <w:color w:val="auto"/>
          <w:sz w:val="24"/>
          <w:szCs w:val="24"/>
          <w:highlight w:val="none"/>
          <w:lang w:val="en-US" w:eastAsia="zh-CN"/>
        </w:rPr>
        <w:t>本人参加</w:t>
      </w:r>
      <w:r>
        <w:rPr>
          <w:rFonts w:hint="eastAsia" w:ascii="宋体" w:hAnsi="宋体" w:cs="宋体"/>
          <w:color w:val="auto"/>
          <w:sz w:val="24"/>
          <w:szCs w:val="24"/>
          <w:highlight w:val="none"/>
        </w:rPr>
        <w:t>投标无需提供授权委托书）</w:t>
      </w:r>
    </w:p>
    <w:p w14:paraId="29544465">
      <w:pPr>
        <w:spacing w:line="360" w:lineRule="auto"/>
        <w:ind w:firstLine="465"/>
        <w:rPr>
          <w:rFonts w:ascii="宋体" w:hAnsi="宋体"/>
          <w:color w:val="auto"/>
          <w:sz w:val="24"/>
          <w:highlight w:val="none"/>
        </w:rPr>
      </w:pPr>
      <w:r>
        <w:rPr>
          <w:rFonts w:hint="eastAsia" w:ascii="宋体" w:hAnsi="宋体"/>
          <w:color w:val="auto"/>
          <w:sz w:val="24"/>
          <w:highlight w:val="none"/>
        </w:rPr>
        <w:t>*4、</w:t>
      </w:r>
      <w:r>
        <w:rPr>
          <w:rFonts w:hint="eastAsia" w:ascii="宋体" w:hAnsi="宋体"/>
          <w:bCs/>
          <w:color w:val="auto"/>
          <w:sz w:val="24"/>
          <w:highlight w:val="none"/>
        </w:rPr>
        <w:t>投标供应商符合《政府采购法》第二十二条规定条件的声明函</w:t>
      </w:r>
      <w:r>
        <w:rPr>
          <w:rFonts w:hint="eastAsia" w:ascii="宋体" w:hAnsi="宋体"/>
          <w:color w:val="auto"/>
          <w:sz w:val="24"/>
          <w:highlight w:val="none"/>
        </w:rPr>
        <w:t>（格式见附件四）</w:t>
      </w:r>
    </w:p>
    <w:p w14:paraId="42B2B32F">
      <w:pPr>
        <w:spacing w:line="360" w:lineRule="auto"/>
        <w:ind w:firstLine="465"/>
        <w:rPr>
          <w:rFonts w:hint="eastAsia" w:ascii="宋体" w:hAnsi="宋体"/>
          <w:color w:val="auto"/>
          <w:sz w:val="24"/>
          <w:highlight w:val="none"/>
        </w:rPr>
      </w:pPr>
      <w:r>
        <w:rPr>
          <w:rFonts w:hint="eastAsia" w:ascii="宋体" w:hAnsi="宋体"/>
          <w:color w:val="auto"/>
          <w:sz w:val="24"/>
          <w:highlight w:val="none"/>
        </w:rPr>
        <w:t>*5、承诺书（格式见附件</w:t>
      </w:r>
      <w:r>
        <w:rPr>
          <w:rFonts w:hint="eastAsia" w:ascii="宋体" w:hAnsi="宋体"/>
          <w:color w:val="auto"/>
          <w:sz w:val="24"/>
          <w:highlight w:val="none"/>
          <w:lang w:val="en-US" w:eastAsia="zh-CN"/>
        </w:rPr>
        <w:t>五</w:t>
      </w:r>
      <w:r>
        <w:rPr>
          <w:rFonts w:hint="eastAsia" w:ascii="宋体" w:hAnsi="宋体"/>
          <w:color w:val="auto"/>
          <w:sz w:val="24"/>
          <w:highlight w:val="none"/>
        </w:rPr>
        <w:t>）</w:t>
      </w:r>
    </w:p>
    <w:p w14:paraId="48816B86">
      <w:pPr>
        <w:spacing w:line="360" w:lineRule="auto"/>
        <w:ind w:firstLine="465"/>
        <w:rPr>
          <w:rFonts w:ascii="宋体" w:hAnsi="宋体"/>
          <w:color w:val="auto"/>
          <w:sz w:val="24"/>
          <w:highlight w:val="none"/>
        </w:rPr>
      </w:pPr>
      <w:r>
        <w:rPr>
          <w:rFonts w:hint="eastAsia" w:ascii="宋体" w:hAnsi="宋体"/>
          <w:color w:val="auto"/>
          <w:sz w:val="24"/>
          <w:highlight w:val="none"/>
        </w:rPr>
        <w:t>*6、资格审查申请书（格式见附件</w:t>
      </w:r>
      <w:r>
        <w:rPr>
          <w:rFonts w:hint="eastAsia" w:ascii="宋体" w:hAnsi="宋体"/>
          <w:color w:val="auto"/>
          <w:sz w:val="24"/>
          <w:highlight w:val="none"/>
          <w:lang w:val="en-US" w:eastAsia="zh-CN"/>
        </w:rPr>
        <w:t>六</w:t>
      </w:r>
      <w:r>
        <w:rPr>
          <w:rFonts w:hint="eastAsia" w:ascii="宋体" w:hAnsi="宋体"/>
          <w:color w:val="auto"/>
          <w:sz w:val="24"/>
          <w:highlight w:val="none"/>
        </w:rPr>
        <w:t>）</w:t>
      </w:r>
    </w:p>
    <w:p w14:paraId="615EDA74">
      <w:pPr>
        <w:spacing w:line="360" w:lineRule="auto"/>
        <w:rPr>
          <w:rFonts w:ascii="宋体" w:hAnsi="宋体"/>
          <w:color w:val="auto"/>
          <w:sz w:val="24"/>
          <w:highlight w:val="none"/>
        </w:rPr>
      </w:pPr>
      <w:r>
        <w:rPr>
          <w:rFonts w:hint="eastAsia" w:ascii="宋体" w:hAnsi="宋体"/>
          <w:color w:val="auto"/>
          <w:sz w:val="24"/>
          <w:highlight w:val="none"/>
        </w:rPr>
        <w:t xml:space="preserve">    *7、</w:t>
      </w:r>
      <w:r>
        <w:rPr>
          <w:rFonts w:hint="eastAsia" w:ascii="宋体" w:hAnsi="宋体" w:cs="宋体"/>
          <w:color w:val="auto"/>
          <w:sz w:val="24"/>
          <w:szCs w:val="24"/>
          <w:highlight w:val="none"/>
        </w:rPr>
        <w:t>有效的营业执照</w:t>
      </w:r>
      <w:r>
        <w:rPr>
          <w:rFonts w:hint="eastAsia" w:ascii="宋体" w:hAnsi="宋体" w:cs="宋体"/>
          <w:color w:val="auto"/>
          <w:sz w:val="24"/>
          <w:szCs w:val="24"/>
          <w:highlight w:val="none"/>
          <w:lang w:val="en-US" w:eastAsia="zh-CN"/>
        </w:rPr>
        <w:t>复印件</w:t>
      </w:r>
      <w:r>
        <w:rPr>
          <w:rFonts w:hint="eastAsia" w:ascii="宋体" w:hAnsi="宋体" w:cs="宋体"/>
          <w:color w:val="auto"/>
          <w:sz w:val="24"/>
          <w:szCs w:val="24"/>
          <w:highlight w:val="none"/>
          <w:lang w:eastAsia="zh-CN"/>
        </w:rPr>
        <w:t>；</w:t>
      </w:r>
      <w:r>
        <w:rPr>
          <w:rFonts w:hint="eastAsia" w:ascii="宋体" w:hAnsi="宋体"/>
          <w:color w:val="auto"/>
          <w:sz w:val="24"/>
          <w:highlight w:val="none"/>
        </w:rPr>
        <w:t xml:space="preserve">    </w:t>
      </w:r>
    </w:p>
    <w:p w14:paraId="7139C39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8</w:t>
      </w:r>
      <w:r>
        <w:rPr>
          <w:rFonts w:hint="eastAsia" w:ascii="宋体" w:hAnsi="宋体"/>
          <w:color w:val="auto"/>
          <w:sz w:val="24"/>
          <w:highlight w:val="none"/>
        </w:rPr>
        <w:t>、</w:t>
      </w:r>
      <w:r>
        <w:rPr>
          <w:rFonts w:hint="eastAsia" w:ascii="宋体" w:hAnsi="宋体" w:cs="宋体"/>
          <w:bCs/>
          <w:color w:val="auto"/>
          <w:sz w:val="24"/>
          <w:highlight w:val="none"/>
        </w:rPr>
        <w:t>拟派项目负责人证书</w:t>
      </w:r>
      <w:r>
        <w:rPr>
          <w:rFonts w:hint="eastAsia" w:ascii="宋体" w:hAnsi="宋体" w:cs="宋体"/>
          <w:bCs/>
          <w:color w:val="auto"/>
          <w:sz w:val="24"/>
          <w:highlight w:val="none"/>
          <w:lang w:val="en-US" w:eastAsia="zh-CN"/>
        </w:rPr>
        <w:t>复印件</w:t>
      </w:r>
      <w:r>
        <w:rPr>
          <w:rFonts w:hint="eastAsia" w:ascii="宋体" w:hAnsi="宋体" w:cs="宋体"/>
          <w:color w:val="auto"/>
          <w:sz w:val="24"/>
          <w:szCs w:val="24"/>
          <w:highlight w:val="none"/>
          <w:lang w:eastAsia="zh-CN"/>
        </w:rPr>
        <w:t>；</w:t>
      </w:r>
    </w:p>
    <w:p w14:paraId="54167F7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9</w:t>
      </w:r>
      <w:r>
        <w:rPr>
          <w:rFonts w:hint="eastAsia" w:ascii="宋体" w:hAnsi="宋体"/>
          <w:color w:val="auto"/>
          <w:sz w:val="24"/>
          <w:highlight w:val="none"/>
        </w:rPr>
        <w:t>、</w:t>
      </w:r>
      <w:r>
        <w:rPr>
          <w:rFonts w:hint="eastAsia" w:ascii="宋体" w:hAnsi="宋体" w:eastAsia="宋体" w:cs="宋体"/>
          <w:color w:val="auto"/>
          <w:kern w:val="0"/>
          <w:sz w:val="24"/>
          <w:highlight w:val="none"/>
        </w:rPr>
        <w:t>拟派项目负责人3年以上的物业管理工作经历或有2年以上物业经理任职经历复印件（须提供劳动合同</w:t>
      </w:r>
      <w:r>
        <w:rPr>
          <w:rFonts w:hint="eastAsia" w:ascii="宋体" w:hAnsi="宋体" w:cs="宋体"/>
          <w:color w:val="auto"/>
          <w:kern w:val="0"/>
          <w:sz w:val="24"/>
          <w:highlight w:val="none"/>
          <w:lang w:val="en-US" w:eastAsia="zh-CN"/>
        </w:rPr>
        <w:t>复印件</w:t>
      </w:r>
      <w:r>
        <w:rPr>
          <w:rFonts w:hint="eastAsia" w:ascii="宋体" w:hAnsi="宋体" w:eastAsia="宋体" w:cs="宋体"/>
          <w:color w:val="auto"/>
          <w:kern w:val="0"/>
          <w:sz w:val="24"/>
          <w:highlight w:val="none"/>
        </w:rPr>
        <w:t>，若无法提供项目负责人3年以上的物业管理工作经历或有2年以上物业经理任职经历，须由投标人提供相关证明</w:t>
      </w:r>
      <w:r>
        <w:rPr>
          <w:rFonts w:hint="eastAsia" w:ascii="宋体" w:hAnsi="宋体" w:cs="宋体"/>
          <w:color w:val="auto"/>
          <w:kern w:val="0"/>
          <w:sz w:val="24"/>
          <w:highlight w:val="none"/>
          <w:lang w:val="en-US" w:eastAsia="zh-CN"/>
        </w:rPr>
        <w:t>复印件</w:t>
      </w:r>
      <w:r>
        <w:rPr>
          <w:rFonts w:hint="eastAsia" w:ascii="宋体" w:hAnsi="宋体" w:eastAsia="宋体" w:cs="宋体"/>
          <w:color w:val="auto"/>
          <w:kern w:val="0"/>
          <w:sz w:val="24"/>
          <w:highlight w:val="none"/>
        </w:rPr>
        <w:t>）；</w:t>
      </w:r>
    </w:p>
    <w:p w14:paraId="47D95D0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10</w:t>
      </w:r>
      <w:r>
        <w:rPr>
          <w:rFonts w:hint="eastAsia" w:ascii="宋体" w:hAnsi="宋体"/>
          <w:color w:val="auto"/>
          <w:sz w:val="24"/>
          <w:highlight w:val="none"/>
        </w:rPr>
        <w:t>、</w:t>
      </w:r>
      <w:r>
        <w:rPr>
          <w:rFonts w:hint="eastAsia" w:ascii="宋体" w:hAnsi="宋体" w:eastAsia="宋体" w:cs="宋体"/>
          <w:color w:val="auto"/>
          <w:kern w:val="0"/>
          <w:sz w:val="24"/>
          <w:highlight w:val="none"/>
        </w:rPr>
        <w:t>投标经办人身份证及投标单位为其缴纳的（</w:t>
      </w:r>
      <w:r>
        <w:rPr>
          <w:rFonts w:hint="eastAsia" w:ascii="宋体" w:hAnsi="宋体" w:eastAsia="宋体" w:cs="宋体"/>
          <w:color w:val="auto"/>
          <w:kern w:val="0"/>
          <w:sz w:val="24"/>
          <w:highlight w:val="none"/>
          <w:lang w:eastAsia="zh-CN"/>
        </w:rPr>
        <w:t>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年</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月-202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年</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lang w:eastAsia="zh-CN"/>
        </w:rPr>
        <w:t>月</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中任意一个月</w:t>
      </w:r>
      <w:r>
        <w:rPr>
          <w:rFonts w:hint="eastAsia" w:ascii="宋体" w:hAnsi="宋体" w:eastAsia="宋体" w:cs="宋体"/>
          <w:color w:val="auto"/>
          <w:kern w:val="0"/>
          <w:sz w:val="24"/>
          <w:highlight w:val="none"/>
        </w:rPr>
        <w:t>的养老保险交费清单</w:t>
      </w:r>
      <w:r>
        <w:rPr>
          <w:rFonts w:hint="eastAsia" w:ascii="宋体" w:hAnsi="宋体" w:cs="宋体"/>
          <w:color w:val="auto"/>
          <w:sz w:val="24"/>
          <w:szCs w:val="24"/>
          <w:highlight w:val="none"/>
          <w:lang w:val="en-US" w:eastAsia="zh-CN"/>
        </w:rPr>
        <w:t>复印件</w:t>
      </w:r>
      <w:r>
        <w:rPr>
          <w:rFonts w:hint="eastAsia" w:ascii="宋体" w:hAnsi="宋体" w:eastAsia="宋体" w:cs="宋体"/>
          <w:color w:val="auto"/>
          <w:kern w:val="0"/>
          <w:sz w:val="24"/>
          <w:highlight w:val="none"/>
        </w:rPr>
        <w:t>（本项目不接受退休人员）；</w:t>
      </w:r>
    </w:p>
    <w:p w14:paraId="0A6D1CA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11</w:t>
      </w:r>
      <w:r>
        <w:rPr>
          <w:rFonts w:hint="eastAsia" w:ascii="宋体" w:hAnsi="宋体"/>
          <w:color w:val="auto"/>
          <w:sz w:val="24"/>
          <w:highlight w:val="none"/>
        </w:rPr>
        <w:t>、</w:t>
      </w:r>
      <w:r>
        <w:rPr>
          <w:rFonts w:hint="eastAsia" w:ascii="宋体" w:hAnsi="宋体" w:eastAsia="宋体" w:cs="宋体"/>
          <w:color w:val="auto"/>
          <w:kern w:val="0"/>
          <w:sz w:val="24"/>
          <w:highlight w:val="none"/>
        </w:rPr>
        <w:t>项目负责人身份证及投标单位为其缴纳的（</w:t>
      </w:r>
      <w:r>
        <w:rPr>
          <w:rFonts w:hint="eastAsia" w:ascii="宋体" w:hAnsi="宋体" w:eastAsia="宋体" w:cs="宋体"/>
          <w:color w:val="auto"/>
          <w:kern w:val="0"/>
          <w:sz w:val="24"/>
          <w:highlight w:val="none"/>
          <w:lang w:eastAsia="zh-CN"/>
        </w:rPr>
        <w:t>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年</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lang w:eastAsia="zh-CN"/>
        </w:rPr>
        <w:t>月-202</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年</w:t>
      </w:r>
      <w:r>
        <w:rPr>
          <w:rFonts w:hint="eastAsia" w:ascii="宋体" w:hAnsi="宋体" w:eastAsia="宋体" w:cs="宋体"/>
          <w:color w:val="auto"/>
          <w:kern w:val="0"/>
          <w:sz w:val="24"/>
          <w:highlight w:val="none"/>
          <w:lang w:val="en-US" w:eastAsia="zh-CN"/>
        </w:rPr>
        <w:t>11</w:t>
      </w:r>
      <w:r>
        <w:rPr>
          <w:rFonts w:hint="eastAsia" w:ascii="宋体" w:hAnsi="宋体" w:eastAsia="宋体" w:cs="宋体"/>
          <w:color w:val="auto"/>
          <w:kern w:val="0"/>
          <w:sz w:val="24"/>
          <w:highlight w:val="none"/>
          <w:lang w:eastAsia="zh-CN"/>
        </w:rPr>
        <w:t>月</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中任意一个月</w:t>
      </w:r>
      <w:r>
        <w:rPr>
          <w:rFonts w:hint="eastAsia" w:ascii="宋体" w:hAnsi="宋体" w:eastAsia="宋体" w:cs="宋体"/>
          <w:color w:val="auto"/>
          <w:kern w:val="0"/>
          <w:sz w:val="24"/>
          <w:highlight w:val="none"/>
        </w:rPr>
        <w:t>的养老保险交费清单</w:t>
      </w:r>
      <w:r>
        <w:rPr>
          <w:rFonts w:hint="eastAsia" w:ascii="宋体" w:hAnsi="宋体" w:cs="宋体"/>
          <w:color w:val="auto"/>
          <w:sz w:val="24"/>
          <w:szCs w:val="24"/>
          <w:highlight w:val="none"/>
          <w:lang w:val="en-US" w:eastAsia="zh-CN"/>
        </w:rPr>
        <w:t>复印件</w:t>
      </w:r>
      <w:r>
        <w:rPr>
          <w:rFonts w:hint="eastAsia" w:ascii="宋体" w:hAnsi="宋体" w:eastAsia="宋体" w:cs="宋体"/>
          <w:color w:val="auto"/>
          <w:kern w:val="0"/>
          <w:sz w:val="24"/>
          <w:highlight w:val="none"/>
        </w:rPr>
        <w:t>（本项目不接受退休人员）；</w:t>
      </w:r>
    </w:p>
    <w:p w14:paraId="1DB85D0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12</w:t>
      </w:r>
      <w:r>
        <w:rPr>
          <w:rFonts w:hint="eastAsia" w:ascii="宋体" w:hAnsi="宋体"/>
          <w:color w:val="auto"/>
          <w:sz w:val="24"/>
          <w:highlight w:val="none"/>
        </w:rPr>
        <w:t>、投标供应商提供2019年1月1日以来（时间以发证日期为准）服务的项目获得过市级及以上物业服务优秀（示范）项目相关证明材料，不包含协会发布的嘉奖材料；</w:t>
      </w:r>
    </w:p>
    <w:p w14:paraId="24E5B23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13</w:t>
      </w:r>
      <w:r>
        <w:rPr>
          <w:rFonts w:hint="eastAsia" w:ascii="宋体" w:hAnsi="宋体"/>
          <w:color w:val="auto"/>
          <w:sz w:val="24"/>
          <w:highlight w:val="none"/>
        </w:rPr>
        <w:t>、</w:t>
      </w:r>
      <w:r>
        <w:rPr>
          <w:rFonts w:hint="eastAsia" w:ascii="宋体" w:hAnsi="宋体" w:cs="宋体"/>
          <w:b w:val="0"/>
          <w:bCs w:val="0"/>
          <w:color w:val="auto"/>
          <w:sz w:val="24"/>
          <w:highlight w:val="none"/>
          <w:u w:val="none"/>
        </w:rPr>
        <w:t>投标供应商</w:t>
      </w:r>
      <w:r>
        <w:rPr>
          <w:rFonts w:hint="eastAsia" w:ascii="宋体" w:hAnsi="宋体" w:cs="宋体"/>
          <w:b w:val="0"/>
          <w:bCs w:val="0"/>
          <w:color w:val="auto"/>
          <w:sz w:val="24"/>
          <w:highlight w:val="none"/>
          <w:u w:val="none"/>
          <w:lang w:val="en-US" w:eastAsia="zh-CN"/>
        </w:rPr>
        <w:t>需提供</w:t>
      </w:r>
      <w:r>
        <w:rPr>
          <w:rFonts w:hint="eastAsia" w:ascii="宋体" w:hAnsi="宋体" w:cs="宋体"/>
          <w:b w:val="0"/>
          <w:bCs w:val="0"/>
          <w:color w:val="auto"/>
          <w:sz w:val="24"/>
          <w:highlight w:val="none"/>
          <w:u w:val="none"/>
        </w:rPr>
        <w:t>在</w:t>
      </w:r>
      <w:r>
        <w:rPr>
          <w:rFonts w:hint="eastAsia" w:ascii="宋体" w:hAnsi="宋体" w:cs="宋体"/>
          <w:b w:val="0"/>
          <w:bCs w:val="0"/>
          <w:color w:val="auto"/>
          <w:sz w:val="24"/>
          <w:highlight w:val="none"/>
          <w:u w:val="none"/>
          <w:lang w:val="en-US" w:eastAsia="zh-CN"/>
        </w:rPr>
        <w:t>投标截止时间前至</w:t>
      </w:r>
      <w:r>
        <w:rPr>
          <w:rFonts w:hint="eastAsia" w:ascii="宋体" w:hAnsi="宋体" w:eastAsia="宋体" w:cs="宋体"/>
          <w:color w:val="auto"/>
          <w:kern w:val="0"/>
          <w:sz w:val="24"/>
          <w:highlight w:val="none"/>
        </w:rPr>
        <w:t>如东县物业管理科办理</w:t>
      </w:r>
      <w:r>
        <w:rPr>
          <w:rFonts w:hint="eastAsia" w:ascii="宋体" w:hAnsi="宋体" w:cs="宋体"/>
          <w:color w:val="auto"/>
          <w:kern w:val="0"/>
          <w:sz w:val="24"/>
          <w:highlight w:val="none"/>
          <w:lang w:val="en-US" w:eastAsia="zh-CN"/>
        </w:rPr>
        <w:t>的</w:t>
      </w:r>
      <w:r>
        <w:rPr>
          <w:rFonts w:hint="eastAsia" w:ascii="宋体" w:hAnsi="宋体" w:eastAsia="宋体" w:cs="宋体"/>
          <w:color w:val="auto"/>
          <w:kern w:val="0"/>
          <w:sz w:val="24"/>
          <w:highlight w:val="none"/>
        </w:rPr>
        <w:t>《如东县物业管理项目招标备案通知》</w:t>
      </w:r>
      <w:r>
        <w:rPr>
          <w:rFonts w:hint="eastAsia" w:ascii="宋体" w:hAnsi="宋体" w:eastAsia="宋体" w:cs="宋体"/>
          <w:b/>
          <w:bCs/>
          <w:color w:val="auto"/>
          <w:kern w:val="0"/>
          <w:sz w:val="24"/>
          <w:highlight w:val="none"/>
          <w:lang w:eastAsia="zh-CN"/>
        </w:rPr>
        <w:t>（原件放入资格审查文件正本中，副本可放复印件）</w:t>
      </w:r>
      <w:r>
        <w:rPr>
          <w:rFonts w:hint="eastAsia" w:ascii="宋体" w:hAnsi="宋体" w:eastAsia="宋体" w:cs="宋体"/>
          <w:b/>
          <w:bCs/>
          <w:color w:val="auto"/>
          <w:kern w:val="0"/>
          <w:sz w:val="24"/>
          <w:highlight w:val="none"/>
        </w:rPr>
        <w:t>；</w:t>
      </w:r>
    </w:p>
    <w:p w14:paraId="625FE3DC">
      <w:pPr>
        <w:spacing w:line="360" w:lineRule="auto"/>
        <w:ind w:firstLine="482" w:firstLineChars="200"/>
        <w:rPr>
          <w:rFonts w:hint="default" w:ascii="宋体" w:hAnsi="宋体" w:eastAsia="宋体"/>
          <w:b/>
          <w:bCs/>
          <w:color w:val="auto"/>
          <w:sz w:val="24"/>
          <w:highlight w:val="none"/>
          <w:lang w:val="en-US" w:eastAsia="zh-CN"/>
        </w:rPr>
      </w:pPr>
      <w:r>
        <w:rPr>
          <w:rFonts w:hint="eastAsia" w:ascii="宋体" w:hAnsi="宋体"/>
          <w:b/>
          <w:bCs/>
          <w:color w:val="auto"/>
          <w:sz w:val="24"/>
          <w:highlight w:val="none"/>
        </w:rPr>
        <w:t>*</w:t>
      </w:r>
      <w:r>
        <w:rPr>
          <w:rFonts w:hint="eastAsia" w:ascii="宋体" w:hAnsi="宋体"/>
          <w:b/>
          <w:bCs/>
          <w:color w:val="auto"/>
          <w:sz w:val="24"/>
          <w:highlight w:val="none"/>
          <w:lang w:val="en-US" w:eastAsia="zh-CN"/>
        </w:rPr>
        <w:t>14</w:t>
      </w:r>
      <w:r>
        <w:rPr>
          <w:rFonts w:hint="eastAsia" w:ascii="宋体" w:hAnsi="宋体"/>
          <w:b/>
          <w:bCs/>
          <w:color w:val="auto"/>
          <w:sz w:val="24"/>
          <w:highlight w:val="none"/>
        </w:rPr>
        <w:t>、</w:t>
      </w:r>
      <w:r>
        <w:rPr>
          <w:rFonts w:hint="eastAsia" w:ascii="宋体" w:hAnsi="宋体"/>
          <w:b/>
          <w:bCs/>
          <w:color w:val="auto"/>
          <w:sz w:val="24"/>
          <w:highlight w:val="none"/>
          <w:lang w:val="en-US" w:eastAsia="zh-CN"/>
        </w:rPr>
        <w:t>针对本项目的物业服务方案（格式自拟）</w:t>
      </w:r>
      <w:r>
        <w:rPr>
          <w:rFonts w:hint="eastAsia" w:ascii="宋体" w:hAnsi="宋体"/>
          <w:b/>
          <w:bCs/>
          <w:color w:val="auto"/>
          <w:sz w:val="24"/>
          <w:highlight w:val="none"/>
          <w:lang w:val="en-US" w:eastAsia="zh-CN"/>
        </w:rPr>
        <w:t>；</w:t>
      </w:r>
    </w:p>
    <w:p w14:paraId="10C58BEC">
      <w:pPr>
        <w:spacing w:line="360" w:lineRule="auto"/>
        <w:ind w:firstLine="480" w:firstLineChars="200"/>
        <w:rPr>
          <w:rFonts w:hint="default" w:ascii="宋体" w:hAnsi="宋体" w:eastAsia="宋体"/>
          <w:b w:val="0"/>
          <w:bCs w:val="0"/>
          <w:color w:val="auto"/>
          <w:sz w:val="24"/>
          <w:highlight w:val="none"/>
          <w:lang w:val="en-US" w:eastAsia="zh-CN"/>
        </w:rPr>
      </w:pPr>
      <w:r>
        <w:rPr>
          <w:rFonts w:hint="eastAsia" w:ascii="宋体" w:hAnsi="宋体"/>
          <w:b w:val="0"/>
          <w:bCs w:val="0"/>
          <w:color w:val="auto"/>
          <w:sz w:val="24"/>
          <w:highlight w:val="none"/>
          <w:lang w:val="en-US" w:eastAsia="zh-CN"/>
        </w:rPr>
        <w:t>15、</w:t>
      </w:r>
      <w:r>
        <w:rPr>
          <w:rFonts w:hint="eastAsia" w:ascii="宋体" w:hAnsi="宋体" w:cs="宋体"/>
          <w:color w:val="auto"/>
          <w:sz w:val="24"/>
          <w:szCs w:val="24"/>
          <w:highlight w:val="none"/>
        </w:rPr>
        <w:t>投标人认为有必要提供的其他资料。</w:t>
      </w:r>
    </w:p>
    <w:p w14:paraId="7CAB730D">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B、经济标部分：</w:t>
      </w:r>
    </w:p>
    <w:p w14:paraId="53AF8C6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投标报价单（含相关报价明细表）</w:t>
      </w:r>
      <w:r>
        <w:rPr>
          <w:rFonts w:hint="eastAsia" w:ascii="宋体" w:hAnsi="宋体"/>
          <w:color w:val="auto"/>
          <w:sz w:val="24"/>
          <w:highlight w:val="none"/>
        </w:rPr>
        <w:t>（</w:t>
      </w:r>
      <w:r>
        <w:rPr>
          <w:rFonts w:hint="eastAsia" w:ascii="宋体" w:hAnsi="宋体" w:cs="仿宋"/>
          <w:b/>
          <w:bCs/>
          <w:color w:val="auto"/>
          <w:sz w:val="24"/>
          <w:highlight w:val="none"/>
        </w:rPr>
        <w:t>格式见附件七</w:t>
      </w:r>
      <w:r>
        <w:rPr>
          <w:rFonts w:hint="eastAsia" w:ascii="宋体" w:hAnsi="宋体"/>
          <w:color w:val="auto"/>
          <w:sz w:val="24"/>
          <w:highlight w:val="none"/>
        </w:rPr>
        <w:t>）；</w:t>
      </w:r>
    </w:p>
    <w:p w14:paraId="26E5A55A">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三、备注说明：投标文件顺序内容参照投标文件格式中投标主要文件目录的顺序制作，并请编制目录。由于不按要求编排，编排混乱等导致投标文件被误读或查找不到，责任由投标供应商承担。</w:t>
      </w:r>
    </w:p>
    <w:p w14:paraId="2B4D958D">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四、重要说明：</w:t>
      </w:r>
    </w:p>
    <w:p w14:paraId="2D4AD80A">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投标单位提交的投标文件中的相关证件（如：企业营业执照、企业资质证书、身份证等）存在虚假或伪造情形的，一经发现则取消中标资格，</w:t>
      </w:r>
      <w:r>
        <w:rPr>
          <w:rFonts w:hint="eastAsia" w:ascii="宋体" w:hAnsi="宋体"/>
          <w:b/>
          <w:bCs/>
          <w:color w:val="auto"/>
          <w:sz w:val="24"/>
          <w:highlight w:val="none"/>
          <w:lang w:val="en-US" w:eastAsia="zh-CN"/>
        </w:rPr>
        <w:t>一切后果自负</w:t>
      </w:r>
      <w:r>
        <w:rPr>
          <w:rFonts w:hint="eastAsia" w:ascii="宋体" w:hAnsi="宋体"/>
          <w:b/>
          <w:bCs/>
          <w:color w:val="auto"/>
          <w:sz w:val="24"/>
          <w:highlight w:val="none"/>
        </w:rPr>
        <w:t>。</w:t>
      </w:r>
    </w:p>
    <w:p w14:paraId="38ABEE43">
      <w:pPr>
        <w:pStyle w:val="55"/>
        <w:snapToGrid w:val="0"/>
        <w:spacing w:line="440" w:lineRule="exact"/>
        <w:ind w:left="63" w:right="63" w:firstLine="494"/>
        <w:rPr>
          <w:rFonts w:ascii="宋体" w:eastAsia="宋体"/>
          <w:color w:val="auto"/>
          <w:sz w:val="24"/>
          <w:szCs w:val="24"/>
          <w:highlight w:val="none"/>
        </w:rPr>
      </w:pPr>
    </w:p>
    <w:p w14:paraId="4A9485BB">
      <w:pPr>
        <w:pStyle w:val="55"/>
        <w:snapToGrid w:val="0"/>
        <w:spacing w:line="440" w:lineRule="exact"/>
        <w:ind w:firstLine="0" w:firstLineChars="0"/>
        <w:rPr>
          <w:rFonts w:ascii="宋体" w:eastAsia="宋体"/>
          <w:color w:val="auto"/>
          <w:sz w:val="28"/>
          <w:highlight w:val="none"/>
        </w:rPr>
      </w:pPr>
    </w:p>
    <w:p w14:paraId="3D9E46AD">
      <w:pPr>
        <w:pStyle w:val="55"/>
        <w:snapToGrid w:val="0"/>
        <w:spacing w:line="440" w:lineRule="exact"/>
        <w:ind w:firstLine="0" w:firstLineChars="0"/>
        <w:rPr>
          <w:rFonts w:ascii="宋体" w:eastAsia="宋体"/>
          <w:color w:val="auto"/>
          <w:sz w:val="28"/>
          <w:highlight w:val="none"/>
        </w:rPr>
      </w:pPr>
    </w:p>
    <w:p w14:paraId="39AC0D76">
      <w:pPr>
        <w:pStyle w:val="55"/>
        <w:snapToGrid w:val="0"/>
        <w:spacing w:line="440" w:lineRule="exact"/>
        <w:ind w:firstLine="0" w:firstLineChars="0"/>
        <w:rPr>
          <w:rFonts w:ascii="宋体" w:eastAsia="宋体"/>
          <w:color w:val="auto"/>
          <w:sz w:val="28"/>
          <w:highlight w:val="none"/>
        </w:rPr>
      </w:pPr>
    </w:p>
    <w:p w14:paraId="7847D799">
      <w:pPr>
        <w:pStyle w:val="55"/>
        <w:snapToGrid w:val="0"/>
        <w:spacing w:line="440" w:lineRule="exact"/>
        <w:ind w:firstLine="0" w:firstLineChars="0"/>
        <w:rPr>
          <w:rFonts w:ascii="宋体" w:eastAsia="宋体"/>
          <w:color w:val="auto"/>
          <w:sz w:val="28"/>
          <w:highlight w:val="none"/>
        </w:rPr>
      </w:pPr>
    </w:p>
    <w:p w14:paraId="6DEF5D41">
      <w:pPr>
        <w:pStyle w:val="55"/>
        <w:snapToGrid w:val="0"/>
        <w:spacing w:line="440" w:lineRule="exact"/>
        <w:ind w:firstLine="0" w:firstLineChars="0"/>
        <w:rPr>
          <w:rFonts w:ascii="宋体" w:eastAsia="宋体"/>
          <w:color w:val="auto"/>
          <w:sz w:val="28"/>
          <w:highlight w:val="none"/>
        </w:rPr>
      </w:pPr>
    </w:p>
    <w:p w14:paraId="12D9BD40">
      <w:pPr>
        <w:pStyle w:val="55"/>
        <w:snapToGrid w:val="0"/>
        <w:spacing w:line="440" w:lineRule="exact"/>
        <w:ind w:firstLine="0" w:firstLineChars="0"/>
        <w:rPr>
          <w:rFonts w:ascii="宋体" w:eastAsia="宋体"/>
          <w:color w:val="auto"/>
          <w:sz w:val="28"/>
          <w:highlight w:val="none"/>
        </w:rPr>
      </w:pPr>
    </w:p>
    <w:p w14:paraId="637DC351">
      <w:pPr>
        <w:pStyle w:val="55"/>
        <w:snapToGrid w:val="0"/>
        <w:spacing w:line="440" w:lineRule="exact"/>
        <w:ind w:firstLine="0" w:firstLineChars="0"/>
        <w:rPr>
          <w:rFonts w:ascii="宋体" w:eastAsia="宋体"/>
          <w:color w:val="auto"/>
          <w:sz w:val="28"/>
          <w:highlight w:val="none"/>
        </w:rPr>
      </w:pPr>
    </w:p>
    <w:p w14:paraId="155DFC6E">
      <w:pPr>
        <w:pStyle w:val="55"/>
        <w:snapToGrid w:val="0"/>
        <w:spacing w:line="440" w:lineRule="exact"/>
        <w:ind w:firstLine="0" w:firstLineChars="0"/>
        <w:rPr>
          <w:rFonts w:ascii="宋体" w:eastAsia="宋体"/>
          <w:color w:val="auto"/>
          <w:sz w:val="28"/>
          <w:highlight w:val="none"/>
        </w:rPr>
      </w:pPr>
    </w:p>
    <w:p w14:paraId="03DC0F1B">
      <w:pPr>
        <w:pStyle w:val="55"/>
        <w:snapToGrid w:val="0"/>
        <w:spacing w:line="440" w:lineRule="exact"/>
        <w:ind w:firstLine="0" w:firstLineChars="0"/>
        <w:rPr>
          <w:rFonts w:ascii="宋体" w:eastAsia="宋体"/>
          <w:color w:val="auto"/>
          <w:sz w:val="28"/>
          <w:highlight w:val="none"/>
        </w:rPr>
      </w:pPr>
    </w:p>
    <w:p w14:paraId="27B1D869">
      <w:pPr>
        <w:pStyle w:val="55"/>
        <w:snapToGrid w:val="0"/>
        <w:spacing w:line="440" w:lineRule="exact"/>
        <w:ind w:firstLine="0" w:firstLineChars="0"/>
        <w:rPr>
          <w:rFonts w:ascii="宋体" w:eastAsia="宋体"/>
          <w:color w:val="auto"/>
          <w:sz w:val="28"/>
          <w:highlight w:val="none"/>
        </w:rPr>
      </w:pPr>
    </w:p>
    <w:p w14:paraId="25D5BDDE">
      <w:pPr>
        <w:pStyle w:val="55"/>
        <w:snapToGrid w:val="0"/>
        <w:spacing w:line="440" w:lineRule="exact"/>
        <w:ind w:firstLine="0" w:firstLineChars="0"/>
        <w:rPr>
          <w:rFonts w:ascii="宋体" w:eastAsia="宋体"/>
          <w:color w:val="auto"/>
          <w:sz w:val="28"/>
          <w:highlight w:val="none"/>
        </w:rPr>
      </w:pPr>
    </w:p>
    <w:p w14:paraId="4986A609">
      <w:pPr>
        <w:pStyle w:val="19"/>
        <w:spacing w:before="0" w:beforeAutospacing="0" w:after="0" w:afterAutospacing="0" w:line="225" w:lineRule="atLeast"/>
        <w:jc w:val="both"/>
        <w:rPr>
          <w:rFonts w:hint="eastAsia" w:eastAsia="宋体" w:cs="Times New Roman"/>
          <w:b/>
          <w:color w:val="auto"/>
          <w:kern w:val="2"/>
          <w:sz w:val="28"/>
          <w:szCs w:val="28"/>
          <w:highlight w:val="none"/>
          <w:lang w:eastAsia="zh-CN"/>
        </w:rPr>
      </w:pPr>
    </w:p>
    <w:p w14:paraId="632EA9A7">
      <w:pPr>
        <w:pStyle w:val="19"/>
        <w:spacing w:before="0" w:beforeAutospacing="0" w:after="0" w:afterAutospacing="0" w:line="225" w:lineRule="atLeast"/>
        <w:jc w:val="both"/>
        <w:rPr>
          <w:rFonts w:cs="Times New Roman"/>
          <w:b/>
          <w:color w:val="auto"/>
          <w:kern w:val="2"/>
          <w:sz w:val="28"/>
          <w:szCs w:val="28"/>
          <w:highlight w:val="none"/>
        </w:rPr>
      </w:pPr>
      <w:r>
        <w:rPr>
          <w:rFonts w:hint="eastAsia" w:cs="Times New Roman"/>
          <w:b/>
          <w:color w:val="auto"/>
          <w:kern w:val="2"/>
          <w:sz w:val="28"/>
          <w:szCs w:val="28"/>
          <w:highlight w:val="none"/>
        </w:rPr>
        <w:t>附件一：</w:t>
      </w:r>
    </w:p>
    <w:p w14:paraId="54CB3A83">
      <w:pPr>
        <w:pStyle w:val="57"/>
        <w:spacing w:after="0" w:line="360" w:lineRule="auto"/>
        <w:rPr>
          <w:rFonts w:ascii="宋体" w:hAnsi="宋体"/>
          <w:b/>
          <w:color w:val="auto"/>
          <w:sz w:val="28"/>
          <w:szCs w:val="28"/>
          <w:highlight w:val="none"/>
        </w:rPr>
      </w:pPr>
      <w:r>
        <w:rPr>
          <w:rFonts w:hint="eastAsia" w:ascii="宋体" w:hAnsi="宋体"/>
          <w:b/>
          <w:color w:val="auto"/>
          <w:sz w:val="28"/>
          <w:szCs w:val="28"/>
          <w:highlight w:val="none"/>
        </w:rPr>
        <w:t>投 标 函</w:t>
      </w:r>
    </w:p>
    <w:p w14:paraId="1857BD7E">
      <w:pPr>
        <w:spacing w:line="276" w:lineRule="auto"/>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如东县欣荣城镇开发建设有限公司</w:t>
      </w:r>
    </w:p>
    <w:p w14:paraId="4E835963">
      <w:pPr>
        <w:spacing w:line="276"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根据已收到的</w:t>
      </w:r>
      <w:r>
        <w:rPr>
          <w:rFonts w:hint="eastAsia" w:ascii="宋体" w:hAnsi="宋体" w:cs="宋体"/>
          <w:color w:val="auto"/>
          <w:sz w:val="24"/>
          <w:highlight w:val="none"/>
          <w:u w:val="single"/>
        </w:rPr>
        <w:t>如东县城湘江路南侧纵三路东侧地块（和美熙苑）建设项目前期物业管理服务项目</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文件要求，我单位将遵照《中华人民共和国招标投标法》等有关规定并根据</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文件的规定，经考察现场和研究</w:t>
      </w:r>
      <w:r>
        <w:rPr>
          <w:rFonts w:hint="eastAsia" w:ascii="宋体" w:hAnsi="宋体" w:cs="宋体"/>
          <w:color w:val="auto"/>
          <w:sz w:val="24"/>
          <w:highlight w:val="none"/>
          <w:lang w:val="en-US" w:eastAsia="zh-CN"/>
        </w:rPr>
        <w:t>招标</w:t>
      </w:r>
      <w:r>
        <w:rPr>
          <w:rFonts w:hint="eastAsia" w:ascii="宋体" w:hAnsi="宋体" w:cs="宋体"/>
          <w:color w:val="auto"/>
          <w:sz w:val="24"/>
          <w:highlight w:val="none"/>
        </w:rPr>
        <w:t>文件后，我方特作如下承诺</w:t>
      </w:r>
    </w:p>
    <w:p w14:paraId="00F4605E">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1.按招标文件规定的各项要求，向</w:t>
      </w:r>
      <w:r>
        <w:rPr>
          <w:rFonts w:hint="eastAsia" w:ascii="宋体" w:hAnsi="宋体"/>
          <w:color w:val="auto"/>
          <w:sz w:val="24"/>
          <w:highlight w:val="none"/>
          <w:lang w:val="en-US" w:eastAsia="zh-CN"/>
        </w:rPr>
        <w:t>招标</w:t>
      </w:r>
      <w:r>
        <w:rPr>
          <w:rFonts w:hint="eastAsia" w:ascii="宋体" w:hAnsi="宋体"/>
          <w:color w:val="auto"/>
          <w:sz w:val="24"/>
          <w:highlight w:val="none"/>
        </w:rPr>
        <w:t>人提供所需货物与服务。</w:t>
      </w:r>
    </w:p>
    <w:p w14:paraId="442CE43C">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2.我方完全理解</w:t>
      </w:r>
      <w:r>
        <w:rPr>
          <w:rFonts w:hint="eastAsia" w:ascii="宋体" w:hAnsi="宋体"/>
          <w:color w:val="auto"/>
          <w:sz w:val="24"/>
          <w:highlight w:val="none"/>
          <w:lang w:val="en-US" w:eastAsia="zh-CN"/>
        </w:rPr>
        <w:t>投标</w:t>
      </w:r>
      <w:r>
        <w:rPr>
          <w:rFonts w:hint="eastAsia" w:ascii="宋体" w:hAnsi="宋体"/>
          <w:color w:val="auto"/>
          <w:sz w:val="24"/>
          <w:highlight w:val="none"/>
        </w:rPr>
        <w:t>报价最低意味着获得本项目中标的资格。</w:t>
      </w:r>
    </w:p>
    <w:p w14:paraId="3F5B710F">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3.我方已详细审核全部招标文件及及有关附件，确认无误。</w:t>
      </w:r>
    </w:p>
    <w:p w14:paraId="23C510B5">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4.我方完全理解全部招标文件内容及相关的补充文件（若有），不存在任何误解之处，同意放弃提出异议和质疑的权利。</w:t>
      </w:r>
    </w:p>
    <w:p w14:paraId="603CB495">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5.我方同意从规定的开标日期起遵循本投标文件，并在规定的投标有效期期满之前均具有约束力。</w:t>
      </w:r>
    </w:p>
    <w:p w14:paraId="424A9C6F">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6.如果在开标后规定的投标有效期内撤回投标或中标后拒绝签订合同，我方的投标保证金可被贵方没收。</w:t>
      </w:r>
    </w:p>
    <w:p w14:paraId="562900A6">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7.我方承诺：</w:t>
      </w:r>
      <w:r>
        <w:rPr>
          <w:rFonts w:hint="eastAsia" w:ascii="宋体" w:hAnsi="宋体"/>
          <w:color w:val="auto"/>
          <w:sz w:val="24"/>
          <w:highlight w:val="none"/>
          <w:lang w:val="en-US" w:eastAsia="zh-CN"/>
        </w:rPr>
        <w:t>招标</w:t>
      </w:r>
      <w:r>
        <w:rPr>
          <w:rFonts w:hint="eastAsia" w:ascii="宋体" w:hAnsi="宋体"/>
          <w:color w:val="auto"/>
          <w:sz w:val="24"/>
          <w:highlight w:val="none"/>
        </w:rPr>
        <w:t>人若需追加</w:t>
      </w:r>
      <w:r>
        <w:rPr>
          <w:rFonts w:hint="eastAsia" w:ascii="宋体" w:hAnsi="宋体"/>
          <w:color w:val="auto"/>
          <w:sz w:val="24"/>
          <w:highlight w:val="none"/>
          <w:lang w:val="en-US" w:eastAsia="zh-CN"/>
        </w:rPr>
        <w:t>招标</w:t>
      </w:r>
      <w:r>
        <w:rPr>
          <w:rFonts w:hint="eastAsia" w:ascii="宋体" w:hAnsi="宋体"/>
          <w:color w:val="auto"/>
          <w:sz w:val="24"/>
          <w:highlight w:val="none"/>
        </w:rPr>
        <w:t>本项目招标文件所列货物及相关服务的，在不改变合同其他实质性条款的前提下，按相同或更优惠的折扣率保证供货。</w:t>
      </w:r>
    </w:p>
    <w:p w14:paraId="5B0E97DD">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8.同意向贵方提供贵方可能另外要求的与投标有关的任何证据或资料，并保证我方已提供和将要提供的文件是真实的、准确的，绝无任何遗漏、虚假、伪造和夸大的成份，若出现违背诚实信用和无如实告知之处，同意被废除投标资格和相关的处罚。</w:t>
      </w:r>
    </w:p>
    <w:p w14:paraId="718217DB">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9.一旦我方中标,我方将根据招标文件的规定，严格履行合同的责任和义务,并保证在招标文件规定的时间完成项目，交付</w:t>
      </w:r>
      <w:r>
        <w:rPr>
          <w:rFonts w:hint="eastAsia" w:ascii="宋体" w:hAnsi="宋体"/>
          <w:color w:val="auto"/>
          <w:sz w:val="24"/>
          <w:highlight w:val="none"/>
          <w:lang w:val="en-US" w:eastAsia="zh-CN"/>
        </w:rPr>
        <w:t>招标</w:t>
      </w:r>
      <w:r>
        <w:rPr>
          <w:rFonts w:hint="eastAsia" w:ascii="宋体" w:hAnsi="宋体"/>
          <w:color w:val="auto"/>
          <w:sz w:val="24"/>
          <w:highlight w:val="none"/>
        </w:rPr>
        <w:t>人验收、使用。</w:t>
      </w:r>
    </w:p>
    <w:p w14:paraId="03964E3A">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10.遵守招标文件中要求的收费项目和标准且无任何异议。</w:t>
      </w:r>
    </w:p>
    <w:p w14:paraId="34AC123D">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如果我方违反上述承诺，或承诺内容不属实，我方愿意承担一切不利的法律后果。</w:t>
      </w:r>
    </w:p>
    <w:p w14:paraId="7B52E16D">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与本投标有关的正式通讯方式为：</w:t>
      </w:r>
    </w:p>
    <w:p w14:paraId="15B33783">
      <w:pPr>
        <w:spacing w:line="276" w:lineRule="auto"/>
        <w:ind w:firstLine="480" w:firstLineChars="200"/>
        <w:rPr>
          <w:rFonts w:ascii="宋体" w:hAnsi="宋体"/>
          <w:color w:val="auto"/>
          <w:sz w:val="24"/>
          <w:highlight w:val="none"/>
          <w:u w:val="single"/>
        </w:rPr>
      </w:pPr>
      <w:r>
        <w:rPr>
          <w:rFonts w:hint="eastAsia" w:ascii="宋体" w:hAnsi="宋体"/>
          <w:color w:val="auto"/>
          <w:sz w:val="24"/>
          <w:highlight w:val="none"/>
        </w:rPr>
        <w:t>地          址：</w:t>
      </w:r>
    </w:p>
    <w:p w14:paraId="7DC8658F">
      <w:pPr>
        <w:spacing w:line="276" w:lineRule="auto"/>
        <w:ind w:firstLine="480" w:firstLineChars="200"/>
        <w:rPr>
          <w:rFonts w:ascii="宋体" w:hAnsi="宋体"/>
          <w:color w:val="auto"/>
          <w:sz w:val="24"/>
          <w:highlight w:val="none"/>
          <w:u w:val="single"/>
        </w:rPr>
      </w:pPr>
      <w:r>
        <w:rPr>
          <w:rFonts w:hint="eastAsia" w:ascii="宋体" w:hAnsi="宋体"/>
          <w:color w:val="auto"/>
          <w:sz w:val="24"/>
          <w:highlight w:val="none"/>
        </w:rPr>
        <w:t>邮          编：</w:t>
      </w:r>
    </w:p>
    <w:p w14:paraId="34B00845">
      <w:pPr>
        <w:spacing w:line="276" w:lineRule="auto"/>
        <w:ind w:firstLine="480" w:firstLineChars="200"/>
        <w:rPr>
          <w:rFonts w:hint="eastAsia" w:ascii="宋体" w:hAnsi="宋体"/>
          <w:color w:val="auto"/>
          <w:sz w:val="24"/>
          <w:highlight w:val="none"/>
        </w:rPr>
      </w:pPr>
      <w:r>
        <w:rPr>
          <w:rFonts w:hint="eastAsia" w:ascii="宋体" w:hAnsi="宋体"/>
          <w:color w:val="auto"/>
          <w:sz w:val="24"/>
          <w:highlight w:val="none"/>
        </w:rPr>
        <w:t>电          话：　</w:t>
      </w:r>
    </w:p>
    <w:p w14:paraId="19DCBCF4">
      <w:pPr>
        <w:spacing w:line="276" w:lineRule="auto"/>
        <w:ind w:firstLine="480" w:firstLineChars="200"/>
        <w:rPr>
          <w:rFonts w:ascii="宋体" w:hAnsi="宋体"/>
          <w:color w:val="auto"/>
          <w:sz w:val="24"/>
          <w:highlight w:val="none"/>
          <w:u w:val="single"/>
        </w:rPr>
      </w:pPr>
      <w:r>
        <w:rPr>
          <w:rFonts w:hint="eastAsia" w:ascii="宋体" w:hAnsi="宋体"/>
          <w:color w:val="auto"/>
          <w:sz w:val="24"/>
          <w:highlight w:val="none"/>
        </w:rPr>
        <w:t>传          真：</w:t>
      </w:r>
    </w:p>
    <w:p w14:paraId="27EDEB1E">
      <w:pPr>
        <w:spacing w:line="276"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投标供应商开户行  ：</w:t>
      </w:r>
    </w:p>
    <w:p w14:paraId="30F0C508">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账          户：</w:t>
      </w:r>
    </w:p>
    <w:p w14:paraId="23F68C6F">
      <w:pPr>
        <w:spacing w:line="276" w:lineRule="auto"/>
        <w:ind w:firstLine="480" w:firstLineChars="200"/>
        <w:rPr>
          <w:rFonts w:ascii="宋体" w:hAnsi="宋体"/>
          <w:color w:val="auto"/>
          <w:sz w:val="24"/>
          <w:highlight w:val="none"/>
        </w:rPr>
      </w:pPr>
    </w:p>
    <w:p w14:paraId="22063B82">
      <w:pPr>
        <w:spacing w:line="276" w:lineRule="auto"/>
        <w:ind w:firstLine="480" w:firstLineChars="200"/>
        <w:rPr>
          <w:rFonts w:ascii="宋体" w:hAnsi="宋体"/>
          <w:color w:val="auto"/>
          <w:sz w:val="24"/>
          <w:highlight w:val="none"/>
        </w:rPr>
      </w:pPr>
    </w:p>
    <w:p w14:paraId="41A41CF5">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法定代表人或被授权人（签字或盖章）：</w:t>
      </w:r>
    </w:p>
    <w:p w14:paraId="74E5A125">
      <w:pPr>
        <w:spacing w:line="276" w:lineRule="auto"/>
        <w:ind w:firstLine="480" w:firstLineChars="200"/>
        <w:rPr>
          <w:rFonts w:ascii="宋体" w:hAnsi="宋体"/>
          <w:color w:val="auto"/>
          <w:sz w:val="24"/>
          <w:highlight w:val="none"/>
          <w:u w:val="single"/>
        </w:rPr>
      </w:pPr>
      <w:r>
        <w:rPr>
          <w:rFonts w:hint="eastAsia" w:ascii="宋体" w:hAnsi="宋体"/>
          <w:color w:val="auto"/>
          <w:sz w:val="24"/>
          <w:highlight w:val="none"/>
        </w:rPr>
        <w:t xml:space="preserve">投标单位（公章）： </w:t>
      </w:r>
    </w:p>
    <w:p w14:paraId="24317B56">
      <w:pPr>
        <w:spacing w:line="276" w:lineRule="auto"/>
        <w:ind w:firstLine="480" w:firstLineChars="200"/>
        <w:rPr>
          <w:rFonts w:ascii="宋体" w:hAnsi="宋体"/>
          <w:color w:val="auto"/>
          <w:sz w:val="24"/>
          <w:highlight w:val="none"/>
        </w:rPr>
      </w:pPr>
      <w:r>
        <w:rPr>
          <w:rFonts w:hint="eastAsia" w:ascii="宋体" w:hAnsi="宋体"/>
          <w:color w:val="auto"/>
          <w:sz w:val="24"/>
          <w:highlight w:val="none"/>
        </w:rPr>
        <w:t xml:space="preserve">日           期： _______年_______月_______日   </w:t>
      </w:r>
    </w:p>
    <w:p w14:paraId="4C7743F2">
      <w:pPr>
        <w:spacing w:line="400" w:lineRule="exact"/>
        <w:rPr>
          <w:rFonts w:ascii="宋体" w:hAnsi="宋体"/>
          <w:color w:val="auto"/>
          <w:sz w:val="24"/>
          <w:highlight w:val="none"/>
        </w:rPr>
      </w:pPr>
    </w:p>
    <w:p w14:paraId="50BB54A8">
      <w:pPr>
        <w:widowControl/>
        <w:jc w:val="left"/>
        <w:rPr>
          <w:rFonts w:ascii="宋体" w:hAnsi="宋体"/>
          <w:b/>
          <w:color w:val="auto"/>
          <w:sz w:val="28"/>
          <w:szCs w:val="28"/>
          <w:highlight w:val="none"/>
        </w:rPr>
      </w:pPr>
      <w:r>
        <w:rPr>
          <w:b/>
          <w:color w:val="auto"/>
          <w:sz w:val="28"/>
          <w:szCs w:val="28"/>
          <w:highlight w:val="none"/>
        </w:rPr>
        <w:br w:type="page"/>
      </w:r>
    </w:p>
    <w:p w14:paraId="770AEEA6">
      <w:pPr>
        <w:pStyle w:val="19"/>
        <w:spacing w:before="0" w:beforeAutospacing="0" w:after="0" w:afterAutospacing="0" w:line="225" w:lineRule="atLeast"/>
        <w:jc w:val="both"/>
        <w:rPr>
          <w:b/>
          <w:bCs/>
          <w:color w:val="auto"/>
          <w:sz w:val="28"/>
          <w:szCs w:val="28"/>
          <w:highlight w:val="none"/>
        </w:rPr>
      </w:pPr>
      <w:r>
        <w:rPr>
          <w:rFonts w:hint="eastAsia" w:cs="Times New Roman"/>
          <w:b/>
          <w:color w:val="auto"/>
          <w:kern w:val="2"/>
          <w:sz w:val="28"/>
          <w:szCs w:val="28"/>
          <w:highlight w:val="none"/>
        </w:rPr>
        <w:t>附件二：</w:t>
      </w:r>
    </w:p>
    <w:p w14:paraId="2A997340">
      <w:pPr>
        <w:pStyle w:val="57"/>
        <w:spacing w:after="0" w:line="420" w:lineRule="atLeast"/>
        <w:rPr>
          <w:rFonts w:ascii="宋体" w:hAnsi="宋体"/>
          <w:color w:val="auto"/>
          <w:sz w:val="28"/>
          <w:szCs w:val="28"/>
          <w:highlight w:val="none"/>
        </w:rPr>
      </w:pPr>
      <w:r>
        <w:rPr>
          <w:rFonts w:hint="eastAsia" w:ascii="宋体" w:hAnsi="宋体"/>
          <w:color w:val="auto"/>
          <w:sz w:val="28"/>
          <w:szCs w:val="28"/>
          <w:highlight w:val="none"/>
        </w:rPr>
        <w:t>法定代表人身份证明书</w:t>
      </w:r>
    </w:p>
    <w:p w14:paraId="4AC52B42">
      <w:pPr>
        <w:pStyle w:val="6"/>
        <w:spacing w:line="420" w:lineRule="atLeast"/>
        <w:ind w:firstLine="0"/>
        <w:jc w:val="center"/>
        <w:rPr>
          <w:rFonts w:ascii="宋体" w:hAnsi="宋体"/>
          <w:color w:val="auto"/>
          <w:sz w:val="32"/>
          <w:szCs w:val="32"/>
          <w:highlight w:val="none"/>
        </w:rPr>
      </w:pPr>
    </w:p>
    <w:p w14:paraId="1C168173">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单位名称：</w:t>
      </w:r>
    </w:p>
    <w:p w14:paraId="02E45CDD">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地    址：</w:t>
      </w:r>
    </w:p>
    <w:p w14:paraId="144E7E73">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成立时间：年月日</w:t>
      </w:r>
    </w:p>
    <w:p w14:paraId="6E2DD14B">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经营期限：</w:t>
      </w:r>
    </w:p>
    <w:p w14:paraId="00528D5C">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姓    名：性别：</w:t>
      </w:r>
    </w:p>
    <w:p w14:paraId="34046660">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职务：系：</w:t>
      </w:r>
      <w:r>
        <w:rPr>
          <w:rFonts w:hint="eastAsia" w:ascii="宋体" w:hAnsi="宋体"/>
          <w:color w:val="auto"/>
          <w:kern w:val="0"/>
          <w:sz w:val="24"/>
          <w:szCs w:val="24"/>
          <w:highlight w:val="none"/>
          <w:u w:val="single"/>
        </w:rPr>
        <w:t xml:space="preserve">     (投标单位名称)           </w:t>
      </w:r>
    </w:p>
    <w:p w14:paraId="764FC41F">
      <w:pPr>
        <w:spacing w:line="360" w:lineRule="auto"/>
        <w:ind w:firstLine="480" w:firstLineChars="200"/>
        <w:rPr>
          <w:rFonts w:ascii="宋体" w:hAnsi="宋体"/>
          <w:color w:val="auto"/>
          <w:kern w:val="0"/>
          <w:sz w:val="24"/>
          <w:szCs w:val="24"/>
          <w:highlight w:val="none"/>
          <w:u w:val="single"/>
        </w:rPr>
      </w:pPr>
      <w:r>
        <w:rPr>
          <w:rFonts w:hint="eastAsia" w:ascii="宋体" w:hAnsi="宋体"/>
          <w:color w:val="auto"/>
          <w:kern w:val="0"/>
          <w:sz w:val="24"/>
          <w:szCs w:val="24"/>
          <w:highlight w:val="none"/>
        </w:rPr>
        <w:t>的法定代表人。</w:t>
      </w:r>
    </w:p>
    <w:p w14:paraId="180220F5">
      <w:pPr>
        <w:spacing w:line="360" w:lineRule="auto"/>
        <w:ind w:firstLine="480" w:firstLineChars="200"/>
        <w:rPr>
          <w:rFonts w:ascii="宋体" w:hAnsi="宋体"/>
          <w:color w:val="auto"/>
          <w:kern w:val="0"/>
          <w:sz w:val="24"/>
          <w:szCs w:val="24"/>
          <w:highlight w:val="none"/>
        </w:rPr>
      </w:pPr>
    </w:p>
    <w:p w14:paraId="5AD2449F">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特此证明</w:t>
      </w:r>
    </w:p>
    <w:p w14:paraId="01818C46">
      <w:pPr>
        <w:spacing w:line="360" w:lineRule="auto"/>
        <w:ind w:firstLine="480" w:firstLineChars="200"/>
        <w:rPr>
          <w:rFonts w:ascii="宋体" w:hAnsi="宋体"/>
          <w:color w:val="auto"/>
          <w:kern w:val="0"/>
          <w:sz w:val="24"/>
          <w:szCs w:val="24"/>
          <w:highlight w:val="none"/>
        </w:rPr>
      </w:pPr>
    </w:p>
    <w:p w14:paraId="0118E786">
      <w:pPr>
        <w:spacing w:line="360" w:lineRule="auto"/>
        <w:ind w:firstLine="2640" w:firstLineChars="1100"/>
        <w:rPr>
          <w:rFonts w:ascii="宋体" w:hAnsi="宋体"/>
          <w:color w:val="auto"/>
          <w:kern w:val="0"/>
          <w:sz w:val="24"/>
          <w:szCs w:val="24"/>
          <w:highlight w:val="none"/>
        </w:rPr>
      </w:pPr>
      <w:r>
        <w:rPr>
          <w:rFonts w:hint="eastAsia" w:ascii="宋体" w:hAnsi="宋体"/>
          <w:color w:val="auto"/>
          <w:kern w:val="0"/>
          <w:sz w:val="24"/>
          <w:szCs w:val="24"/>
          <w:highlight w:val="none"/>
        </w:rPr>
        <w:t>投标供应商全称(加盖公章)：</w:t>
      </w:r>
    </w:p>
    <w:p w14:paraId="3352F633">
      <w:pPr>
        <w:spacing w:line="360" w:lineRule="auto"/>
        <w:ind w:firstLine="3840" w:firstLineChars="1600"/>
        <w:rPr>
          <w:rFonts w:ascii="宋体" w:hAnsi="宋体"/>
          <w:color w:val="auto"/>
          <w:kern w:val="0"/>
          <w:sz w:val="24"/>
          <w:szCs w:val="24"/>
          <w:highlight w:val="none"/>
        </w:rPr>
      </w:pPr>
    </w:p>
    <w:p w14:paraId="5C2D3389">
      <w:pPr>
        <w:spacing w:line="360" w:lineRule="auto"/>
        <w:ind w:firstLine="4320" w:firstLineChars="1800"/>
        <w:rPr>
          <w:rFonts w:ascii="宋体" w:hAnsi="宋体"/>
          <w:color w:val="auto"/>
          <w:kern w:val="0"/>
          <w:sz w:val="24"/>
          <w:szCs w:val="24"/>
          <w:highlight w:val="none"/>
        </w:rPr>
      </w:pPr>
      <w:r>
        <w:rPr>
          <w:rFonts w:hint="eastAsia" w:ascii="宋体" w:hAnsi="宋体"/>
          <w:color w:val="auto"/>
          <w:kern w:val="0"/>
          <w:sz w:val="24"/>
          <w:szCs w:val="24"/>
          <w:highlight w:val="none"/>
        </w:rPr>
        <w:t>年月日</w:t>
      </w:r>
    </w:p>
    <w:p w14:paraId="4DE3E0AC">
      <w:pPr>
        <w:pStyle w:val="6"/>
        <w:spacing w:line="480" w:lineRule="auto"/>
        <w:ind w:firstLine="480" w:firstLineChars="200"/>
        <w:rPr>
          <w:rFonts w:ascii="宋体" w:hAnsi="宋体"/>
          <w:color w:val="auto"/>
          <w:highlight w:val="none"/>
        </w:rPr>
      </w:pPr>
    </w:p>
    <w:p w14:paraId="007B1085">
      <w:pPr>
        <w:spacing w:line="540" w:lineRule="exact"/>
        <w:rPr>
          <w:rFonts w:ascii="宋体" w:hAnsi="宋体"/>
          <w:color w:val="auto"/>
          <w:sz w:val="24"/>
          <w:highlight w:val="none"/>
        </w:rPr>
      </w:pPr>
      <w:r>
        <w:rPr>
          <w:rFonts w:hint="eastAsia" w:ascii="宋体" w:hAnsi="宋体"/>
          <w:color w:val="auto"/>
          <w:sz w:val="24"/>
          <w:highlight w:val="none"/>
        </w:rPr>
        <w:t>附：法定代表人身份证扫描件</w:t>
      </w:r>
    </w:p>
    <w:p w14:paraId="11AB694D">
      <w:pPr>
        <w:pStyle w:val="19"/>
        <w:spacing w:line="225" w:lineRule="atLeast"/>
        <w:jc w:val="both"/>
        <w:rPr>
          <w:b/>
          <w:bCs/>
          <w:color w:val="auto"/>
          <w:sz w:val="32"/>
          <w:szCs w:val="32"/>
          <w:highlight w:val="none"/>
        </w:rPr>
      </w:pPr>
    </w:p>
    <w:p w14:paraId="0DB555A4">
      <w:pPr>
        <w:pStyle w:val="19"/>
        <w:spacing w:line="225" w:lineRule="atLeast"/>
        <w:jc w:val="both"/>
        <w:rPr>
          <w:b/>
          <w:bCs/>
          <w:color w:val="auto"/>
          <w:sz w:val="32"/>
          <w:szCs w:val="32"/>
          <w:highlight w:val="none"/>
        </w:rPr>
      </w:pPr>
    </w:p>
    <w:p w14:paraId="7E3B5448">
      <w:pPr>
        <w:pStyle w:val="19"/>
        <w:spacing w:line="225" w:lineRule="atLeast"/>
        <w:jc w:val="both"/>
        <w:rPr>
          <w:rFonts w:cs="Times New Roman"/>
          <w:b/>
          <w:color w:val="auto"/>
          <w:kern w:val="2"/>
          <w:sz w:val="32"/>
          <w:szCs w:val="32"/>
          <w:highlight w:val="none"/>
        </w:rPr>
      </w:pPr>
    </w:p>
    <w:p w14:paraId="1F86597C">
      <w:pPr>
        <w:pStyle w:val="19"/>
        <w:spacing w:line="225" w:lineRule="atLeast"/>
        <w:jc w:val="both"/>
        <w:rPr>
          <w:rFonts w:cs="Times New Roman"/>
          <w:b/>
          <w:color w:val="auto"/>
          <w:kern w:val="2"/>
          <w:sz w:val="32"/>
          <w:szCs w:val="32"/>
          <w:highlight w:val="none"/>
        </w:rPr>
      </w:pPr>
    </w:p>
    <w:p w14:paraId="78EF7CDD">
      <w:pPr>
        <w:pStyle w:val="19"/>
        <w:spacing w:before="0" w:beforeAutospacing="0" w:after="0" w:afterAutospacing="0" w:line="360" w:lineRule="auto"/>
        <w:jc w:val="both"/>
        <w:rPr>
          <w:rFonts w:cs="Times New Roman"/>
          <w:b/>
          <w:color w:val="auto"/>
          <w:kern w:val="2"/>
          <w:sz w:val="28"/>
          <w:szCs w:val="28"/>
          <w:highlight w:val="none"/>
        </w:rPr>
      </w:pPr>
      <w:r>
        <w:rPr>
          <w:rFonts w:cs="Times New Roman"/>
          <w:b/>
          <w:color w:val="auto"/>
          <w:kern w:val="2"/>
          <w:sz w:val="32"/>
          <w:szCs w:val="32"/>
          <w:highlight w:val="none"/>
        </w:rPr>
        <w:br w:type="page"/>
      </w:r>
      <w:r>
        <w:rPr>
          <w:rFonts w:hint="eastAsia" w:cs="Times New Roman"/>
          <w:b/>
          <w:color w:val="auto"/>
          <w:kern w:val="2"/>
          <w:sz w:val="28"/>
          <w:szCs w:val="28"/>
          <w:highlight w:val="none"/>
        </w:rPr>
        <w:t>附件三：</w:t>
      </w:r>
    </w:p>
    <w:p w14:paraId="79F88160">
      <w:pPr>
        <w:spacing w:line="360" w:lineRule="auto"/>
        <w:jc w:val="center"/>
        <w:rPr>
          <w:rFonts w:ascii="宋体" w:hAnsi="宋体"/>
          <w:b/>
          <w:color w:val="auto"/>
          <w:sz w:val="28"/>
          <w:szCs w:val="28"/>
          <w:highlight w:val="none"/>
        </w:rPr>
      </w:pPr>
      <w:r>
        <w:rPr>
          <w:rFonts w:hint="eastAsia" w:ascii="宋体" w:hAnsi="宋体"/>
          <w:b/>
          <w:color w:val="auto"/>
          <w:sz w:val="28"/>
          <w:szCs w:val="28"/>
          <w:highlight w:val="none"/>
        </w:rPr>
        <w:t>法定代表人授权委托书</w:t>
      </w:r>
    </w:p>
    <w:p w14:paraId="653B2FC1">
      <w:pPr>
        <w:spacing w:line="360" w:lineRule="auto"/>
        <w:rPr>
          <w:rFonts w:ascii="宋体" w:hAnsi="宋体"/>
          <w:color w:val="auto"/>
          <w:sz w:val="24"/>
          <w:highlight w:val="none"/>
        </w:rPr>
      </w:pPr>
      <w:r>
        <w:rPr>
          <w:rFonts w:hint="eastAsia" w:ascii="宋体" w:hAnsi="宋体"/>
          <w:color w:val="auto"/>
          <w:sz w:val="24"/>
          <w:highlight w:val="none"/>
          <w:u w:val="single"/>
        </w:rPr>
        <w:t>如东县欣荣城镇开发建设有限公司</w:t>
      </w:r>
      <w:r>
        <w:rPr>
          <w:rFonts w:hint="eastAsia" w:ascii="宋体" w:hAnsi="宋体"/>
          <w:color w:val="auto"/>
          <w:sz w:val="24"/>
          <w:highlight w:val="none"/>
        </w:rPr>
        <w:t>：</w:t>
      </w:r>
    </w:p>
    <w:p w14:paraId="0302AAB6">
      <w:pPr>
        <w:spacing w:line="360" w:lineRule="auto"/>
        <w:rPr>
          <w:rFonts w:ascii="宋体" w:hAnsi="宋体"/>
          <w:color w:val="auto"/>
          <w:sz w:val="24"/>
          <w:highlight w:val="none"/>
        </w:rPr>
      </w:pPr>
      <w:r>
        <w:rPr>
          <w:rFonts w:hint="eastAsia" w:ascii="宋体" w:hAnsi="宋体"/>
          <w:color w:val="auto"/>
          <w:sz w:val="24"/>
          <w:highlight w:val="none"/>
        </w:rPr>
        <w:t>本授权书声明：</w:t>
      </w:r>
    </w:p>
    <w:p w14:paraId="149AFE01">
      <w:pPr>
        <w:spacing w:line="360" w:lineRule="auto"/>
        <w:ind w:firstLine="592" w:firstLineChars="247"/>
        <w:rPr>
          <w:rFonts w:ascii="宋体" w:hAnsi="宋体"/>
          <w:b/>
          <w:color w:val="auto"/>
          <w:kern w:val="0"/>
          <w:sz w:val="24"/>
          <w:highlight w:val="none"/>
        </w:rPr>
      </w:pPr>
      <w:r>
        <w:rPr>
          <w:rFonts w:hint="eastAsia" w:ascii="宋体" w:hAnsi="宋体"/>
          <w:color w:val="auto"/>
          <w:sz w:val="24"/>
          <w:highlight w:val="none"/>
        </w:rPr>
        <w:t>我</w:t>
      </w:r>
      <w:r>
        <w:rPr>
          <w:rFonts w:hint="eastAsia" w:ascii="宋体" w:hAnsi="宋体"/>
          <w:color w:val="auto"/>
          <w:sz w:val="24"/>
          <w:highlight w:val="none"/>
          <w:u w:val="single"/>
        </w:rPr>
        <w:t>（姓名）</w:t>
      </w:r>
      <w:r>
        <w:rPr>
          <w:rFonts w:hint="eastAsia" w:ascii="宋体" w:hAnsi="宋体"/>
          <w:color w:val="auto"/>
          <w:sz w:val="24"/>
          <w:highlight w:val="none"/>
        </w:rPr>
        <w:t>，系</w:t>
      </w:r>
      <w:r>
        <w:rPr>
          <w:rFonts w:hint="eastAsia" w:ascii="宋体" w:hAnsi="宋体"/>
          <w:color w:val="auto"/>
          <w:sz w:val="24"/>
          <w:highlight w:val="none"/>
          <w:u w:val="single"/>
        </w:rPr>
        <w:t>（投标供应商全称）</w:t>
      </w:r>
      <w:r>
        <w:rPr>
          <w:rFonts w:hint="eastAsia" w:ascii="宋体" w:hAnsi="宋体"/>
          <w:color w:val="auto"/>
          <w:sz w:val="24"/>
          <w:highlight w:val="none"/>
        </w:rPr>
        <w:t>的法定代表人，现授权</w:t>
      </w:r>
      <w:r>
        <w:rPr>
          <w:rFonts w:hint="eastAsia" w:ascii="宋体" w:hAnsi="宋体"/>
          <w:color w:val="auto"/>
          <w:sz w:val="24"/>
          <w:highlight w:val="none"/>
          <w:u w:val="single"/>
        </w:rPr>
        <w:t>（姓名）</w:t>
      </w:r>
      <w:r>
        <w:rPr>
          <w:rFonts w:hint="eastAsia" w:ascii="宋体" w:hAnsi="宋体"/>
          <w:color w:val="auto"/>
          <w:sz w:val="24"/>
          <w:highlight w:val="none"/>
        </w:rPr>
        <w:t>为我公司的授权委托人，以我公司的名义参加</w:t>
      </w:r>
      <w:r>
        <w:rPr>
          <w:rFonts w:hint="eastAsia" w:ascii="宋体" w:hAnsi="宋体"/>
          <w:color w:val="auto"/>
          <w:sz w:val="24"/>
          <w:highlight w:val="none"/>
          <w:u w:val="single"/>
        </w:rPr>
        <w:t>如东县城湘江路南侧纵三路东侧地块（和美熙苑）建设项目前期物业管理服务项目</w:t>
      </w:r>
      <w:r>
        <w:rPr>
          <w:rFonts w:hint="eastAsia" w:ascii="宋体" w:hAnsi="宋体"/>
          <w:color w:val="auto"/>
          <w:sz w:val="24"/>
          <w:highlight w:val="none"/>
        </w:rPr>
        <w:t>的投标报价，全权代表我公司处理本次招投标的一切事宜。</w:t>
      </w:r>
    </w:p>
    <w:p w14:paraId="435136B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授权委托人在本项目</w:t>
      </w:r>
      <w:r>
        <w:rPr>
          <w:rFonts w:hint="eastAsia" w:ascii="宋体" w:hAnsi="宋体"/>
          <w:color w:val="auto"/>
          <w:sz w:val="24"/>
          <w:highlight w:val="none"/>
          <w:lang w:val="en-US" w:eastAsia="zh-CN"/>
        </w:rPr>
        <w:t>招标</w:t>
      </w:r>
      <w:r>
        <w:rPr>
          <w:rFonts w:hint="eastAsia" w:ascii="宋体" w:hAnsi="宋体"/>
          <w:color w:val="auto"/>
          <w:sz w:val="24"/>
          <w:highlight w:val="none"/>
        </w:rPr>
        <w:t>过程中所签署的一切文件、承诺和处理与之有关的一切事务，我均予以承认。</w:t>
      </w:r>
    </w:p>
    <w:p w14:paraId="744C0A9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授权委托人无转委权。</w:t>
      </w:r>
    </w:p>
    <w:p w14:paraId="28CA5884">
      <w:pPr>
        <w:spacing w:line="360" w:lineRule="auto"/>
        <w:rPr>
          <w:rFonts w:ascii="宋体" w:hAnsi="宋体"/>
          <w:color w:val="auto"/>
          <w:sz w:val="24"/>
          <w:highlight w:val="none"/>
        </w:rPr>
      </w:pPr>
    </w:p>
    <w:p w14:paraId="54BE6C6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授权委托人情况：</w:t>
      </w:r>
    </w:p>
    <w:p w14:paraId="7ADF061C">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姓名： 职务：</w:t>
      </w:r>
    </w:p>
    <w:p w14:paraId="0D07C384">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身份证号码：</w:t>
      </w:r>
    </w:p>
    <w:p w14:paraId="66434089">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联系电话： 传真：</w:t>
      </w:r>
    </w:p>
    <w:p w14:paraId="639B8BCA">
      <w:pPr>
        <w:spacing w:line="360" w:lineRule="auto"/>
        <w:rPr>
          <w:rFonts w:ascii="宋体" w:hAnsi="宋体"/>
          <w:color w:val="auto"/>
          <w:sz w:val="24"/>
          <w:highlight w:val="none"/>
        </w:rPr>
      </w:pPr>
    </w:p>
    <w:p w14:paraId="272DB1B0">
      <w:pPr>
        <w:spacing w:line="360" w:lineRule="auto"/>
        <w:jc w:val="left"/>
        <w:rPr>
          <w:rFonts w:ascii="宋体" w:hAnsi="宋体"/>
          <w:color w:val="auto"/>
          <w:sz w:val="24"/>
          <w:highlight w:val="none"/>
          <w:u w:val="single"/>
        </w:rPr>
      </w:pPr>
      <w:r>
        <w:rPr>
          <w:rFonts w:hint="eastAsia" w:ascii="宋体" w:hAnsi="宋体"/>
          <w:color w:val="auto"/>
          <w:sz w:val="24"/>
          <w:highlight w:val="none"/>
        </w:rPr>
        <w:t>单位名称（加盖公章）：</w:t>
      </w:r>
    </w:p>
    <w:p w14:paraId="60EF3A24">
      <w:pPr>
        <w:spacing w:line="360" w:lineRule="auto"/>
        <w:rPr>
          <w:rFonts w:ascii="宋体" w:hAnsi="宋体"/>
          <w:color w:val="auto"/>
          <w:sz w:val="24"/>
          <w:highlight w:val="none"/>
          <w:u w:val="single"/>
        </w:rPr>
      </w:pPr>
      <w:r>
        <w:rPr>
          <w:rFonts w:hint="eastAsia" w:ascii="宋体" w:hAnsi="宋体"/>
          <w:color w:val="auto"/>
          <w:sz w:val="24"/>
          <w:highlight w:val="none"/>
        </w:rPr>
        <w:t>法定代表人（签字或盖章）：</w:t>
      </w:r>
    </w:p>
    <w:p w14:paraId="73B7B0DD">
      <w:pPr>
        <w:spacing w:line="360" w:lineRule="auto"/>
        <w:ind w:left="4320" w:hanging="4320" w:hangingChars="1800"/>
        <w:jc w:val="center"/>
        <w:rPr>
          <w:rFonts w:ascii="宋体" w:hAnsi="宋体"/>
          <w:color w:val="auto"/>
          <w:sz w:val="24"/>
          <w:highlight w:val="none"/>
        </w:rPr>
      </w:pPr>
      <w:r>
        <w:rPr>
          <w:rFonts w:hint="eastAsia" w:ascii="宋体" w:hAnsi="宋体"/>
          <w:color w:val="auto"/>
          <w:sz w:val="24"/>
          <w:highlight w:val="none"/>
        </w:rPr>
        <w:t>年  月  日</w:t>
      </w:r>
    </w:p>
    <w:p w14:paraId="36C3B524">
      <w:pPr>
        <w:spacing w:line="360" w:lineRule="auto"/>
        <w:rPr>
          <w:rFonts w:ascii="宋体" w:hAnsi="宋体"/>
          <w:color w:val="auto"/>
          <w:sz w:val="24"/>
          <w:highlight w:val="none"/>
        </w:rPr>
      </w:pPr>
      <w:bookmarkStart w:id="38" w:name="_Toc420422187"/>
    </w:p>
    <w:p w14:paraId="2FEEDB9A">
      <w:pPr>
        <w:spacing w:line="360" w:lineRule="auto"/>
        <w:rPr>
          <w:rFonts w:ascii="宋体" w:hAnsi="宋体"/>
          <w:color w:val="auto"/>
          <w:sz w:val="24"/>
          <w:highlight w:val="none"/>
        </w:rPr>
      </w:pPr>
      <w:r>
        <w:rPr>
          <w:rFonts w:hint="eastAsia" w:ascii="宋体" w:hAnsi="宋体"/>
          <w:color w:val="auto"/>
          <w:sz w:val="24"/>
          <w:highlight w:val="none"/>
        </w:rPr>
        <w:t>附：授权委托人（即代理人）身份证扫描件</w:t>
      </w:r>
    </w:p>
    <w:p w14:paraId="65DB989D">
      <w:pPr>
        <w:pStyle w:val="19"/>
        <w:spacing w:line="225" w:lineRule="atLeast"/>
        <w:jc w:val="both"/>
        <w:rPr>
          <w:b/>
          <w:color w:val="auto"/>
          <w:sz w:val="32"/>
          <w:szCs w:val="32"/>
          <w:highlight w:val="none"/>
        </w:rPr>
      </w:pPr>
    </w:p>
    <w:p w14:paraId="3A57A464">
      <w:pPr>
        <w:pStyle w:val="19"/>
        <w:spacing w:line="225" w:lineRule="atLeast"/>
        <w:jc w:val="both"/>
        <w:rPr>
          <w:b/>
          <w:color w:val="auto"/>
          <w:sz w:val="32"/>
          <w:szCs w:val="32"/>
          <w:highlight w:val="none"/>
        </w:rPr>
      </w:pPr>
    </w:p>
    <w:p w14:paraId="5FB8CB9B">
      <w:pPr>
        <w:pStyle w:val="19"/>
        <w:spacing w:line="225" w:lineRule="atLeast"/>
        <w:jc w:val="both"/>
        <w:rPr>
          <w:b/>
          <w:color w:val="auto"/>
          <w:sz w:val="28"/>
          <w:szCs w:val="28"/>
          <w:highlight w:val="none"/>
        </w:rPr>
      </w:pPr>
      <w:r>
        <w:rPr>
          <w:rFonts w:cs="Times New Roman"/>
          <w:b/>
          <w:color w:val="auto"/>
          <w:kern w:val="2"/>
          <w:sz w:val="32"/>
          <w:szCs w:val="32"/>
          <w:highlight w:val="none"/>
        </w:rPr>
        <w:br w:type="page"/>
      </w:r>
      <w:r>
        <w:rPr>
          <w:rFonts w:hint="eastAsia" w:cs="Times New Roman"/>
          <w:b/>
          <w:color w:val="auto"/>
          <w:kern w:val="2"/>
          <w:sz w:val="28"/>
          <w:szCs w:val="28"/>
          <w:highlight w:val="none"/>
        </w:rPr>
        <w:t>附件四：</w:t>
      </w:r>
    </w:p>
    <w:p w14:paraId="557D5E99">
      <w:pPr>
        <w:spacing w:after="240"/>
        <w:jc w:val="center"/>
        <w:rPr>
          <w:rFonts w:ascii="宋体" w:hAnsi="宋体" w:cs="宋体"/>
          <w:b/>
          <w:bCs/>
          <w:color w:val="auto"/>
          <w:kern w:val="0"/>
          <w:sz w:val="28"/>
          <w:szCs w:val="28"/>
          <w:highlight w:val="none"/>
        </w:rPr>
      </w:pPr>
      <w:bookmarkStart w:id="39" w:name="_Toc2829"/>
      <w:r>
        <w:rPr>
          <w:rFonts w:hint="eastAsia" w:ascii="宋体" w:hAnsi="宋体" w:cs="宋体"/>
          <w:b/>
          <w:bCs/>
          <w:color w:val="auto"/>
          <w:kern w:val="0"/>
          <w:sz w:val="28"/>
          <w:szCs w:val="28"/>
          <w:highlight w:val="none"/>
        </w:rPr>
        <w:t>投标供应商符合《政府采购法》第二十二条规定条件的声明函</w:t>
      </w:r>
      <w:bookmarkEnd w:id="39"/>
    </w:p>
    <w:p w14:paraId="316EAEFC">
      <w:pPr>
        <w:spacing w:line="500" w:lineRule="exact"/>
        <w:ind w:firstLine="480" w:firstLineChars="200"/>
        <w:rPr>
          <w:rFonts w:ascii="宋体" w:hAnsi="宋体" w:cs="宋体"/>
          <w:b/>
          <w:bCs/>
          <w:color w:val="auto"/>
          <w:sz w:val="24"/>
          <w:highlight w:val="none"/>
        </w:rPr>
      </w:pPr>
      <w:r>
        <w:rPr>
          <w:rFonts w:hint="eastAsia" w:ascii="宋体" w:hAnsi="宋体" w:cs="宋体"/>
          <w:bCs/>
          <w:color w:val="auto"/>
          <w:sz w:val="24"/>
          <w:highlight w:val="none"/>
        </w:rPr>
        <w:t>我单位参加</w:t>
      </w:r>
      <w:r>
        <w:rPr>
          <w:rFonts w:hint="eastAsia" w:ascii="宋体" w:hAnsi="宋体" w:cs="宋体"/>
          <w:bCs/>
          <w:color w:val="auto"/>
          <w:sz w:val="24"/>
          <w:highlight w:val="none"/>
          <w:u w:val="single"/>
        </w:rPr>
        <w:t>如东县城湘江路南侧纵三路东侧地块（和美熙苑）建设项目前期物业管理服务项目</w:t>
      </w:r>
      <w:r>
        <w:rPr>
          <w:rFonts w:hint="eastAsia" w:ascii="宋体" w:hAnsi="宋体" w:cs="宋体"/>
          <w:bCs/>
          <w:color w:val="auto"/>
          <w:sz w:val="24"/>
          <w:szCs w:val="21"/>
          <w:highlight w:val="none"/>
        </w:rPr>
        <w:t>（项目名称）询价活动。针对《中华人民共和国政府采购法》第二十二条规定做出如下声明：</w:t>
      </w:r>
    </w:p>
    <w:p w14:paraId="0846A6B3">
      <w:pPr>
        <w:spacing w:line="500" w:lineRule="exact"/>
        <w:ind w:firstLine="482"/>
        <w:rPr>
          <w:rFonts w:ascii="宋体" w:hAnsi="宋体" w:cs="宋体"/>
          <w:color w:val="auto"/>
          <w:sz w:val="24"/>
          <w:highlight w:val="none"/>
        </w:rPr>
      </w:pPr>
      <w:r>
        <w:rPr>
          <w:rFonts w:hint="eastAsia" w:ascii="宋体" w:hAnsi="宋体" w:cs="宋体"/>
          <w:bCs/>
          <w:color w:val="auto"/>
          <w:sz w:val="24"/>
          <w:szCs w:val="21"/>
          <w:highlight w:val="none"/>
        </w:rPr>
        <w:t>1.我单位具有独立承担民事责任的能力；</w:t>
      </w:r>
    </w:p>
    <w:p w14:paraId="02223400">
      <w:pPr>
        <w:spacing w:line="500" w:lineRule="exact"/>
        <w:ind w:firstLine="482"/>
        <w:rPr>
          <w:rFonts w:ascii="宋体" w:hAnsi="宋体" w:cs="宋体"/>
          <w:color w:val="auto"/>
          <w:sz w:val="24"/>
          <w:highlight w:val="none"/>
        </w:rPr>
      </w:pPr>
      <w:r>
        <w:rPr>
          <w:rFonts w:hint="eastAsia" w:ascii="宋体" w:hAnsi="宋体" w:cs="宋体"/>
          <w:color w:val="auto"/>
          <w:sz w:val="24"/>
          <w:highlight w:val="none"/>
        </w:rPr>
        <w:t>2.我单位具有良好的商业信誉和健全的财务会计制度；</w:t>
      </w:r>
    </w:p>
    <w:p w14:paraId="4C820549">
      <w:pPr>
        <w:spacing w:line="500" w:lineRule="exact"/>
        <w:ind w:firstLine="482"/>
        <w:rPr>
          <w:rFonts w:ascii="宋体" w:hAnsi="宋体" w:cs="宋体"/>
          <w:color w:val="auto"/>
          <w:sz w:val="24"/>
          <w:highlight w:val="none"/>
        </w:rPr>
      </w:pPr>
      <w:r>
        <w:rPr>
          <w:rFonts w:hint="eastAsia" w:ascii="宋体" w:hAnsi="宋体" w:cs="宋体"/>
          <w:color w:val="auto"/>
          <w:sz w:val="24"/>
          <w:highlight w:val="none"/>
        </w:rPr>
        <w:t>3.我单位具有履行合同所必需的设备和专业技术能力；</w:t>
      </w:r>
    </w:p>
    <w:p w14:paraId="35740356">
      <w:pPr>
        <w:spacing w:line="500" w:lineRule="exact"/>
        <w:ind w:firstLine="482"/>
        <w:rPr>
          <w:rFonts w:ascii="宋体" w:hAnsi="宋体" w:cs="宋体"/>
          <w:color w:val="auto"/>
          <w:sz w:val="24"/>
          <w:highlight w:val="none"/>
        </w:rPr>
      </w:pPr>
      <w:r>
        <w:rPr>
          <w:rFonts w:hint="eastAsia" w:ascii="宋体" w:hAnsi="宋体" w:cs="宋体"/>
          <w:color w:val="auto"/>
          <w:sz w:val="24"/>
          <w:highlight w:val="none"/>
        </w:rPr>
        <w:t>4.我单位有依法缴纳税收和社会保障资金的良好记录；</w:t>
      </w:r>
    </w:p>
    <w:p w14:paraId="6AC032A8">
      <w:pPr>
        <w:spacing w:line="500" w:lineRule="exact"/>
        <w:ind w:firstLine="482"/>
        <w:rPr>
          <w:rFonts w:ascii="宋体" w:hAnsi="宋体" w:cs="宋体"/>
          <w:color w:val="auto"/>
          <w:sz w:val="24"/>
          <w:highlight w:val="none"/>
        </w:rPr>
      </w:pPr>
      <w:r>
        <w:rPr>
          <w:rFonts w:hint="eastAsia" w:ascii="宋体" w:hAnsi="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8D53944">
      <w:pPr>
        <w:spacing w:line="500" w:lineRule="exact"/>
        <w:ind w:firstLine="482"/>
        <w:rPr>
          <w:rFonts w:ascii="宋体" w:hAnsi="宋体" w:cs="宋体"/>
          <w:color w:val="auto"/>
          <w:sz w:val="24"/>
          <w:highlight w:val="none"/>
        </w:rPr>
      </w:pPr>
      <w:r>
        <w:rPr>
          <w:rFonts w:hint="eastAsia" w:ascii="宋体" w:hAnsi="宋体" w:cs="宋体"/>
          <w:color w:val="auto"/>
          <w:sz w:val="24"/>
          <w:highlight w:val="none"/>
        </w:rPr>
        <w:t>6.我单位满足法律、行政法规规定的其他条件。</w:t>
      </w:r>
    </w:p>
    <w:p w14:paraId="51A911FD">
      <w:pPr>
        <w:pStyle w:val="13"/>
        <w:spacing w:line="360" w:lineRule="auto"/>
        <w:ind w:firstLine="720"/>
        <w:jc w:val="center"/>
        <w:rPr>
          <w:rFonts w:hAnsi="宋体" w:cs="宋体"/>
          <w:color w:val="auto"/>
          <w:sz w:val="24"/>
          <w:szCs w:val="24"/>
          <w:highlight w:val="none"/>
        </w:rPr>
      </w:pPr>
    </w:p>
    <w:p w14:paraId="251A4058">
      <w:pPr>
        <w:pStyle w:val="13"/>
        <w:spacing w:line="360" w:lineRule="auto"/>
        <w:ind w:firstLine="720"/>
        <w:jc w:val="center"/>
        <w:rPr>
          <w:rFonts w:hAnsi="宋体" w:cs="宋体"/>
          <w:color w:val="auto"/>
          <w:sz w:val="24"/>
          <w:szCs w:val="24"/>
          <w:highlight w:val="none"/>
        </w:rPr>
      </w:pPr>
    </w:p>
    <w:p w14:paraId="006D0C2B">
      <w:pPr>
        <w:pStyle w:val="13"/>
        <w:spacing w:line="360" w:lineRule="auto"/>
        <w:ind w:firstLine="720"/>
        <w:rPr>
          <w:rFonts w:hAnsi="宋体" w:cs="宋体"/>
          <w:color w:val="auto"/>
          <w:sz w:val="24"/>
          <w:szCs w:val="24"/>
          <w:highlight w:val="none"/>
        </w:rPr>
      </w:pPr>
      <w:r>
        <w:rPr>
          <w:rFonts w:hint="eastAsia" w:hAnsi="宋体" w:cs="宋体"/>
          <w:color w:val="auto"/>
          <w:sz w:val="24"/>
          <w:szCs w:val="24"/>
          <w:highlight w:val="none"/>
        </w:rPr>
        <w:t xml:space="preserve">投标供应商(加盖公章)：                                   </w:t>
      </w:r>
    </w:p>
    <w:p w14:paraId="25F38571">
      <w:pPr>
        <w:pStyle w:val="13"/>
        <w:spacing w:line="360" w:lineRule="auto"/>
        <w:ind w:firstLine="720"/>
        <w:rPr>
          <w:rFonts w:hAnsi="宋体" w:cs="宋体"/>
          <w:color w:val="auto"/>
          <w:sz w:val="24"/>
          <w:szCs w:val="24"/>
          <w:highlight w:val="none"/>
        </w:rPr>
      </w:pPr>
      <w:r>
        <w:rPr>
          <w:rFonts w:hint="eastAsia" w:hAnsi="宋体" w:cs="宋体"/>
          <w:color w:val="auto"/>
          <w:sz w:val="24"/>
          <w:szCs w:val="24"/>
          <w:highlight w:val="none"/>
        </w:rPr>
        <w:t>法定代表人(签字或盖章)：</w:t>
      </w:r>
    </w:p>
    <w:p w14:paraId="3F172EFC">
      <w:pPr>
        <w:pStyle w:val="13"/>
        <w:spacing w:line="360" w:lineRule="auto"/>
        <w:ind w:firstLine="720"/>
        <w:rPr>
          <w:rFonts w:hAnsi="宋体" w:cs="宋体"/>
          <w:color w:val="auto"/>
          <w:sz w:val="24"/>
          <w:szCs w:val="24"/>
          <w:highlight w:val="none"/>
        </w:rPr>
      </w:pPr>
      <w:r>
        <w:rPr>
          <w:rFonts w:hint="eastAsia" w:hAnsi="宋体" w:cs="宋体"/>
          <w:color w:val="auto"/>
          <w:sz w:val="24"/>
          <w:szCs w:val="24"/>
          <w:highlight w:val="none"/>
        </w:rPr>
        <w:t>日期：</w:t>
      </w:r>
      <w:r>
        <w:rPr>
          <w:rFonts w:hAnsi="宋体" w:cs="宋体"/>
          <w:color w:val="auto"/>
          <w:sz w:val="24"/>
          <w:szCs w:val="24"/>
          <w:highlight w:val="none"/>
        </w:rPr>
        <w:t xml:space="preserve">        </w:t>
      </w:r>
      <w:r>
        <w:rPr>
          <w:rFonts w:hint="eastAsia" w:hAnsi="宋体" w:cs="宋体"/>
          <w:color w:val="auto"/>
          <w:sz w:val="24"/>
          <w:szCs w:val="24"/>
          <w:highlight w:val="none"/>
        </w:rPr>
        <w:t>年</w:t>
      </w:r>
      <w:r>
        <w:rPr>
          <w:rFonts w:hAnsi="宋体" w:cs="宋体"/>
          <w:color w:val="auto"/>
          <w:sz w:val="24"/>
          <w:szCs w:val="24"/>
          <w:highlight w:val="none"/>
        </w:rPr>
        <w:t xml:space="preserve">    </w:t>
      </w:r>
      <w:r>
        <w:rPr>
          <w:rFonts w:hint="eastAsia" w:hAnsi="宋体" w:cs="宋体"/>
          <w:color w:val="auto"/>
          <w:sz w:val="24"/>
          <w:szCs w:val="24"/>
          <w:highlight w:val="none"/>
        </w:rPr>
        <w:t>月</w:t>
      </w:r>
      <w:r>
        <w:rPr>
          <w:rFonts w:hAnsi="宋体" w:cs="宋体"/>
          <w:color w:val="auto"/>
          <w:sz w:val="24"/>
          <w:szCs w:val="24"/>
          <w:highlight w:val="none"/>
        </w:rPr>
        <w:t xml:space="preserve">     </w:t>
      </w:r>
      <w:r>
        <w:rPr>
          <w:rFonts w:hint="eastAsia" w:hAnsi="宋体" w:cs="宋体"/>
          <w:color w:val="auto"/>
          <w:sz w:val="24"/>
          <w:szCs w:val="24"/>
          <w:highlight w:val="none"/>
        </w:rPr>
        <w:t>日</w:t>
      </w:r>
    </w:p>
    <w:p w14:paraId="5B63B37E">
      <w:pPr>
        <w:widowControl/>
        <w:jc w:val="left"/>
        <w:rPr>
          <w:rFonts w:ascii="宋体" w:hAnsi="宋体" w:cs="宋体"/>
          <w:b/>
          <w:color w:val="auto"/>
          <w:sz w:val="28"/>
          <w:szCs w:val="28"/>
          <w:highlight w:val="none"/>
        </w:rPr>
      </w:pPr>
      <w:r>
        <w:rPr>
          <w:b/>
          <w:color w:val="auto"/>
          <w:sz w:val="28"/>
          <w:szCs w:val="28"/>
          <w:highlight w:val="none"/>
        </w:rPr>
        <w:br w:type="page"/>
      </w:r>
    </w:p>
    <w:p w14:paraId="12F70DBE">
      <w:pPr>
        <w:pStyle w:val="19"/>
        <w:spacing w:line="225" w:lineRule="atLeast"/>
        <w:rPr>
          <w:rFonts w:hint="eastAsia"/>
          <w:b/>
          <w:color w:val="auto"/>
          <w:kern w:val="2"/>
          <w:sz w:val="28"/>
          <w:szCs w:val="28"/>
          <w:highlight w:val="none"/>
          <w:lang w:eastAsia="zh-CN"/>
        </w:rPr>
      </w:pPr>
      <w:r>
        <w:rPr>
          <w:rFonts w:hint="eastAsia"/>
          <w:b/>
          <w:color w:val="auto"/>
          <w:kern w:val="2"/>
          <w:sz w:val="28"/>
          <w:szCs w:val="28"/>
          <w:highlight w:val="none"/>
        </w:rPr>
        <w:t>附件五</w:t>
      </w:r>
      <w:r>
        <w:rPr>
          <w:rFonts w:hint="eastAsia"/>
          <w:b/>
          <w:color w:val="auto"/>
          <w:kern w:val="2"/>
          <w:sz w:val="28"/>
          <w:szCs w:val="28"/>
          <w:highlight w:val="none"/>
          <w:lang w:eastAsia="zh-CN"/>
        </w:rPr>
        <w:t>：</w:t>
      </w:r>
    </w:p>
    <w:p w14:paraId="5B944A9B">
      <w:pPr>
        <w:pStyle w:val="5"/>
        <w:keepNext w:val="0"/>
        <w:keepLines w:val="0"/>
        <w:spacing w:before="0" w:after="0" w:line="440" w:lineRule="exact"/>
        <w:jc w:val="center"/>
        <w:rPr>
          <w:rFonts w:ascii="宋体" w:hAnsi="宋体" w:cs="宋体"/>
          <w:color w:val="auto"/>
          <w:highlight w:val="none"/>
        </w:rPr>
      </w:pPr>
      <w:r>
        <w:rPr>
          <w:rFonts w:hint="eastAsia" w:ascii="宋体" w:hAnsi="宋体" w:cs="宋体"/>
          <w:color w:val="auto"/>
          <w:highlight w:val="none"/>
        </w:rPr>
        <w:t>承诺书</w:t>
      </w:r>
    </w:p>
    <w:p w14:paraId="29644E06">
      <w:pPr>
        <w:spacing w:line="440" w:lineRule="exact"/>
        <w:rPr>
          <w:rFonts w:ascii="宋体" w:hAnsi="宋体" w:cs="宋体"/>
          <w:color w:val="auto"/>
          <w:highlight w:val="none"/>
        </w:rPr>
      </w:pPr>
    </w:p>
    <w:p w14:paraId="753BCB46">
      <w:pPr>
        <w:spacing w:line="440" w:lineRule="exact"/>
        <w:rPr>
          <w:rFonts w:ascii="宋体" w:hAnsi="宋体" w:cs="宋体"/>
          <w:b/>
          <w:bCs/>
          <w:color w:val="auto"/>
          <w:sz w:val="25"/>
          <w:szCs w:val="25"/>
          <w:highlight w:val="none"/>
        </w:rPr>
      </w:pPr>
    </w:p>
    <w:p w14:paraId="355B46BE">
      <w:pPr>
        <w:spacing w:line="440" w:lineRule="exact"/>
        <w:ind w:firstLine="502" w:firstLineChars="200"/>
        <w:rPr>
          <w:rFonts w:ascii="宋体" w:hAnsi="宋体" w:cs="宋体"/>
          <w:color w:val="auto"/>
          <w:sz w:val="24"/>
          <w:highlight w:val="none"/>
        </w:rPr>
      </w:pPr>
      <w:r>
        <w:rPr>
          <w:rFonts w:hint="eastAsia" w:ascii="宋体" w:hAnsi="宋体" w:cs="宋体"/>
          <w:b/>
          <w:bCs/>
          <w:color w:val="auto"/>
          <w:sz w:val="25"/>
          <w:szCs w:val="25"/>
          <w:highlight w:val="none"/>
        </w:rPr>
        <w:t>若本单位在本项目（</w:t>
      </w:r>
      <w:r>
        <w:rPr>
          <w:rFonts w:hint="eastAsia" w:ascii="宋体" w:hAnsi="宋体" w:cs="宋体"/>
          <w:b/>
          <w:bCs/>
          <w:color w:val="auto"/>
          <w:kern w:val="0"/>
          <w:sz w:val="24"/>
          <w:highlight w:val="none"/>
        </w:rPr>
        <w:t>如东县城湘江路南侧纵三路东侧地块（和美熙苑）建设项目前期物业管理服务项目</w:t>
      </w:r>
      <w:r>
        <w:rPr>
          <w:rFonts w:hint="eastAsia" w:ascii="宋体" w:hAnsi="宋体" w:cs="宋体"/>
          <w:b/>
          <w:bCs/>
          <w:color w:val="auto"/>
          <w:sz w:val="25"/>
          <w:szCs w:val="25"/>
          <w:highlight w:val="none"/>
        </w:rPr>
        <w:t>）中标后，承诺如下：</w:t>
      </w:r>
    </w:p>
    <w:p w14:paraId="6637459A">
      <w:pPr>
        <w:pStyle w:val="5"/>
        <w:spacing w:before="0" w:after="0" w:line="440" w:lineRule="exact"/>
        <w:ind w:firstLine="500" w:firstLineChars="200"/>
        <w:rPr>
          <w:rFonts w:hint="eastAsia" w:ascii="宋体" w:hAnsi="宋体" w:cs="宋体"/>
          <w:b w:val="0"/>
          <w:bCs w:val="0"/>
          <w:color w:val="auto"/>
          <w:sz w:val="25"/>
          <w:szCs w:val="25"/>
          <w:highlight w:val="none"/>
          <w:lang w:eastAsia="zh-CN"/>
        </w:rPr>
      </w:pPr>
      <w:r>
        <w:rPr>
          <w:rFonts w:hint="eastAsia" w:ascii="宋体" w:hAnsi="宋体" w:cs="宋体"/>
          <w:b w:val="0"/>
          <w:bCs w:val="0"/>
          <w:color w:val="auto"/>
          <w:sz w:val="25"/>
          <w:szCs w:val="25"/>
          <w:highlight w:val="none"/>
        </w:rPr>
        <w:t>该项目负责人不兼任其他项目的项目负责人</w:t>
      </w:r>
      <w:r>
        <w:rPr>
          <w:rFonts w:hint="eastAsia" w:ascii="宋体" w:hAnsi="宋体" w:cs="宋体"/>
          <w:b w:val="0"/>
          <w:bCs w:val="0"/>
          <w:color w:val="auto"/>
          <w:sz w:val="25"/>
          <w:szCs w:val="25"/>
          <w:highlight w:val="none"/>
          <w:lang w:eastAsia="zh-CN"/>
        </w:rPr>
        <w:t>。</w:t>
      </w:r>
    </w:p>
    <w:p w14:paraId="0C810FBE">
      <w:pPr>
        <w:pStyle w:val="5"/>
        <w:spacing w:before="0" w:after="0" w:line="440" w:lineRule="exact"/>
        <w:ind w:firstLine="482" w:firstLineChars="200"/>
        <w:rPr>
          <w:rFonts w:hint="default" w:ascii="宋体" w:hAnsi="宋体" w:eastAsia="宋体" w:cs="宋体"/>
          <w:color w:val="auto"/>
          <w:sz w:val="25"/>
          <w:szCs w:val="25"/>
          <w:highlight w:val="none"/>
          <w:lang w:val="en-US" w:eastAsia="zh-CN"/>
        </w:rPr>
      </w:pPr>
      <w:r>
        <w:rPr>
          <w:rFonts w:hint="eastAsia" w:ascii="宋体" w:hAnsi="宋体" w:cs="宋体"/>
          <w:b/>
          <w:bCs/>
          <w:color w:val="auto"/>
          <w:sz w:val="24"/>
          <w:highlight w:val="none"/>
        </w:rPr>
        <w:t>中标公示期间内</w:t>
      </w:r>
      <w:r>
        <w:rPr>
          <w:rFonts w:hint="eastAsia" w:ascii="宋体" w:hAnsi="宋体" w:cs="宋体"/>
          <w:color w:val="auto"/>
          <w:sz w:val="25"/>
          <w:szCs w:val="25"/>
          <w:highlight w:val="none"/>
        </w:rPr>
        <w:t>主动向</w:t>
      </w:r>
      <w:r>
        <w:rPr>
          <w:rFonts w:hint="eastAsia" w:ascii="宋体" w:hAnsi="宋体" w:cs="宋体"/>
          <w:color w:val="auto"/>
          <w:sz w:val="24"/>
          <w:highlight w:val="none"/>
        </w:rPr>
        <w:t>如东县物业管理科</w:t>
      </w:r>
      <w:r>
        <w:rPr>
          <w:rFonts w:hint="eastAsia" w:ascii="宋体" w:hAnsi="宋体" w:cs="宋体"/>
          <w:color w:val="auto"/>
          <w:sz w:val="25"/>
          <w:szCs w:val="25"/>
          <w:highlight w:val="none"/>
        </w:rPr>
        <w:t>提供《履约信用证明》，不能提供或者提供材料不符合要求的，自愿放弃中标资格。</w:t>
      </w:r>
      <w:r>
        <w:rPr>
          <w:rFonts w:hint="eastAsia" w:ascii="宋体" w:hAnsi="宋体" w:cs="宋体"/>
          <w:color w:val="auto"/>
          <w:sz w:val="25"/>
          <w:szCs w:val="25"/>
          <w:highlight w:val="none"/>
          <w:lang w:val="en-US" w:eastAsia="zh-CN"/>
        </w:rPr>
        <w:t xml:space="preserve">   </w:t>
      </w:r>
    </w:p>
    <w:p w14:paraId="72949A62">
      <w:pPr>
        <w:spacing w:line="440" w:lineRule="exact"/>
        <w:rPr>
          <w:rFonts w:ascii="宋体" w:hAnsi="宋体" w:cs="宋体"/>
          <w:color w:val="auto"/>
          <w:highlight w:val="none"/>
        </w:rPr>
      </w:pPr>
    </w:p>
    <w:p w14:paraId="40741A25">
      <w:pPr>
        <w:spacing w:line="440" w:lineRule="exact"/>
        <w:rPr>
          <w:rFonts w:ascii="宋体" w:hAnsi="宋体" w:cs="宋体"/>
          <w:color w:val="auto"/>
          <w:highlight w:val="none"/>
        </w:rPr>
      </w:pPr>
    </w:p>
    <w:p w14:paraId="48DE3794">
      <w:pPr>
        <w:spacing w:line="440" w:lineRule="exact"/>
        <w:rPr>
          <w:rFonts w:ascii="宋体" w:hAnsi="宋体" w:cs="宋体"/>
          <w:color w:val="auto"/>
          <w:highlight w:val="none"/>
        </w:rPr>
      </w:pPr>
    </w:p>
    <w:p w14:paraId="545ECC7A">
      <w:pPr>
        <w:spacing w:line="440" w:lineRule="exact"/>
        <w:rPr>
          <w:rFonts w:ascii="宋体" w:hAnsi="宋体" w:cs="宋体"/>
          <w:color w:val="auto"/>
          <w:highlight w:val="none"/>
        </w:rPr>
      </w:pPr>
    </w:p>
    <w:p w14:paraId="6A29CE94">
      <w:pPr>
        <w:pStyle w:val="5"/>
        <w:spacing w:before="0" w:after="0" w:line="440" w:lineRule="exact"/>
        <w:jc w:val="center"/>
        <w:rPr>
          <w:rFonts w:hint="eastAsia" w:ascii="宋体" w:hAnsi="宋体" w:cs="宋体"/>
          <w:b w:val="0"/>
          <w:bCs w:val="0"/>
          <w:color w:val="auto"/>
          <w:sz w:val="25"/>
          <w:szCs w:val="25"/>
          <w:highlight w:val="none"/>
          <w:lang w:eastAsia="zh-CN"/>
        </w:rPr>
      </w:pPr>
      <w:r>
        <w:rPr>
          <w:rFonts w:hint="eastAsia" w:ascii="宋体" w:hAnsi="宋体" w:cs="宋体"/>
          <w:b w:val="0"/>
          <w:bCs w:val="0"/>
          <w:color w:val="auto"/>
          <w:sz w:val="25"/>
          <w:szCs w:val="25"/>
          <w:highlight w:val="none"/>
          <w:lang w:val="en-US" w:eastAsia="zh-CN"/>
        </w:rPr>
        <w:t xml:space="preserve">          </w:t>
      </w:r>
      <w:r>
        <w:rPr>
          <w:rFonts w:hint="eastAsia" w:ascii="宋体" w:hAnsi="宋体" w:cs="宋体"/>
          <w:b w:val="0"/>
          <w:bCs w:val="0"/>
          <w:color w:val="auto"/>
          <w:sz w:val="25"/>
          <w:szCs w:val="25"/>
          <w:highlight w:val="none"/>
        </w:rPr>
        <w:t>承诺人</w:t>
      </w:r>
      <w:r>
        <w:rPr>
          <w:rFonts w:hint="eastAsia" w:ascii="宋体" w:hAnsi="宋体" w:cs="宋体"/>
          <w:b w:val="0"/>
          <w:bCs w:val="0"/>
          <w:color w:val="auto"/>
          <w:sz w:val="25"/>
          <w:szCs w:val="25"/>
          <w:highlight w:val="none"/>
          <w:lang w:eastAsia="zh-CN"/>
        </w:rPr>
        <w:t>（加盖公章）：</w:t>
      </w:r>
    </w:p>
    <w:p w14:paraId="34507189">
      <w:pPr>
        <w:pStyle w:val="5"/>
        <w:spacing w:before="0" w:after="0" w:line="440" w:lineRule="exact"/>
        <w:jc w:val="center"/>
        <w:rPr>
          <w:rFonts w:hint="eastAsia" w:ascii="宋体" w:hAnsi="宋体" w:eastAsia="宋体" w:cs="宋体"/>
          <w:b w:val="0"/>
          <w:bCs w:val="0"/>
          <w:color w:val="auto"/>
          <w:sz w:val="25"/>
          <w:szCs w:val="25"/>
          <w:highlight w:val="none"/>
          <w:lang w:eastAsia="zh-CN"/>
        </w:rPr>
      </w:pPr>
      <w:r>
        <w:rPr>
          <w:rFonts w:hint="eastAsia" w:ascii="宋体" w:hAnsi="宋体" w:cs="宋体"/>
          <w:b w:val="0"/>
          <w:bCs w:val="0"/>
          <w:color w:val="auto"/>
          <w:sz w:val="25"/>
          <w:szCs w:val="25"/>
          <w:highlight w:val="none"/>
          <w:lang w:val="en-US" w:eastAsia="zh-CN"/>
        </w:rPr>
        <w:t xml:space="preserve">         </w:t>
      </w:r>
      <w:r>
        <w:rPr>
          <w:rFonts w:hint="eastAsia" w:ascii="宋体" w:hAnsi="宋体" w:cs="宋体"/>
          <w:b w:val="0"/>
          <w:bCs w:val="0"/>
          <w:color w:val="auto"/>
          <w:sz w:val="25"/>
          <w:szCs w:val="25"/>
          <w:highlight w:val="none"/>
          <w:lang w:eastAsia="zh-CN"/>
        </w:rPr>
        <w:t>法定代表人</w:t>
      </w:r>
      <w:r>
        <w:rPr>
          <w:rFonts w:hint="eastAsia" w:ascii="宋体" w:hAnsi="宋体" w:cs="宋体"/>
          <w:b w:val="0"/>
          <w:bCs w:val="0"/>
          <w:color w:val="auto"/>
          <w:sz w:val="25"/>
          <w:szCs w:val="25"/>
          <w:highlight w:val="none"/>
        </w:rPr>
        <w:t>（签字或盖章）</w:t>
      </w:r>
      <w:r>
        <w:rPr>
          <w:rFonts w:hint="eastAsia" w:ascii="宋体" w:hAnsi="宋体" w:cs="宋体"/>
          <w:b w:val="0"/>
          <w:bCs w:val="0"/>
          <w:color w:val="auto"/>
          <w:sz w:val="25"/>
          <w:szCs w:val="25"/>
          <w:highlight w:val="none"/>
          <w:lang w:eastAsia="zh-CN"/>
        </w:rPr>
        <w:t>：</w:t>
      </w:r>
    </w:p>
    <w:p w14:paraId="4A84B109">
      <w:pPr>
        <w:pStyle w:val="5"/>
        <w:spacing w:before="0" w:after="0" w:line="440" w:lineRule="exact"/>
        <w:jc w:val="center"/>
        <w:rPr>
          <w:rFonts w:ascii="宋体" w:hAnsi="宋体" w:cs="宋体"/>
          <w:b w:val="0"/>
          <w:bCs w:val="0"/>
          <w:color w:val="auto"/>
          <w:sz w:val="25"/>
          <w:szCs w:val="25"/>
          <w:highlight w:val="none"/>
        </w:rPr>
      </w:pPr>
      <w:r>
        <w:rPr>
          <w:rFonts w:hint="eastAsia" w:ascii="宋体" w:hAnsi="宋体" w:cs="宋体"/>
          <w:b w:val="0"/>
          <w:bCs w:val="0"/>
          <w:color w:val="auto"/>
          <w:sz w:val="25"/>
          <w:szCs w:val="25"/>
          <w:highlight w:val="none"/>
          <w:lang w:val="en-US" w:eastAsia="zh-CN"/>
        </w:rPr>
        <w:t xml:space="preserve">                   </w:t>
      </w:r>
      <w:r>
        <w:rPr>
          <w:rFonts w:hint="eastAsia" w:ascii="宋体" w:hAnsi="宋体" w:cs="宋体"/>
          <w:b w:val="0"/>
          <w:bCs w:val="0"/>
          <w:color w:val="auto"/>
          <w:sz w:val="25"/>
          <w:szCs w:val="25"/>
          <w:highlight w:val="none"/>
        </w:rPr>
        <w:t>年 月 日</w:t>
      </w:r>
    </w:p>
    <w:p w14:paraId="3DC70B1A">
      <w:pPr>
        <w:pStyle w:val="19"/>
        <w:spacing w:line="225" w:lineRule="atLeast"/>
        <w:rPr>
          <w:rFonts w:hint="eastAsia"/>
          <w:b/>
          <w:color w:val="auto"/>
          <w:kern w:val="2"/>
          <w:sz w:val="28"/>
          <w:szCs w:val="28"/>
          <w:highlight w:val="none"/>
          <w:lang w:eastAsia="zh-CN"/>
        </w:rPr>
      </w:pPr>
    </w:p>
    <w:bookmarkEnd w:id="38"/>
    <w:p w14:paraId="68E860B7">
      <w:pPr>
        <w:widowControl/>
        <w:jc w:val="left"/>
        <w:rPr>
          <w:rFonts w:ascii="宋体" w:hAnsi="宋体"/>
          <w:b/>
          <w:color w:val="auto"/>
          <w:sz w:val="28"/>
          <w:szCs w:val="28"/>
          <w:highlight w:val="none"/>
        </w:rPr>
      </w:pPr>
      <w:r>
        <w:rPr>
          <w:rFonts w:ascii="宋体" w:hAnsi="宋体"/>
          <w:color w:val="auto"/>
          <w:highlight w:val="none"/>
        </w:rPr>
        <w:br w:type="page"/>
      </w:r>
      <w:r>
        <w:rPr>
          <w:rFonts w:hint="eastAsia" w:ascii="宋体" w:hAnsi="宋体"/>
          <w:b/>
          <w:color w:val="auto"/>
          <w:sz w:val="28"/>
          <w:szCs w:val="28"/>
          <w:highlight w:val="none"/>
        </w:rPr>
        <w:t>附件六：</w:t>
      </w:r>
    </w:p>
    <w:p w14:paraId="0EB447EB">
      <w:pPr>
        <w:spacing w:line="440" w:lineRule="exact"/>
        <w:ind w:firstLine="315" w:firstLineChars="150"/>
        <w:rPr>
          <w:rFonts w:ascii="宋体" w:hAnsi="宋体"/>
          <w:color w:val="auto"/>
          <w:highlight w:val="none"/>
        </w:rPr>
      </w:pPr>
    </w:p>
    <w:p w14:paraId="43E45B86">
      <w:pPr>
        <w:pStyle w:val="5"/>
        <w:keepNext w:val="0"/>
        <w:keepLines w:val="0"/>
        <w:spacing w:before="0" w:after="0" w:line="440" w:lineRule="exact"/>
        <w:jc w:val="center"/>
        <w:rPr>
          <w:rFonts w:ascii="宋体" w:hAnsi="宋体" w:cs="宋体"/>
          <w:color w:val="auto"/>
          <w:highlight w:val="none"/>
        </w:rPr>
      </w:pPr>
      <w:r>
        <w:rPr>
          <w:rFonts w:hint="eastAsia" w:ascii="宋体" w:hAnsi="宋体" w:cs="宋体"/>
          <w:color w:val="auto"/>
          <w:highlight w:val="none"/>
        </w:rPr>
        <w:t>资格审查申请书</w:t>
      </w:r>
    </w:p>
    <w:p w14:paraId="4BD7C7E3">
      <w:pPr>
        <w:spacing w:line="440" w:lineRule="exact"/>
        <w:rPr>
          <w:rFonts w:ascii="宋体" w:hAnsi="宋体" w:cs="宋体"/>
          <w:color w:val="auto"/>
          <w:spacing w:val="30"/>
          <w:sz w:val="25"/>
          <w:szCs w:val="25"/>
          <w:highlight w:val="none"/>
          <w:u w:val="single"/>
        </w:rPr>
      </w:pPr>
      <w:r>
        <w:rPr>
          <w:rFonts w:hint="eastAsia" w:ascii="宋体" w:hAnsi="宋体" w:cs="宋体"/>
          <w:color w:val="auto"/>
          <w:spacing w:val="30"/>
          <w:sz w:val="25"/>
          <w:szCs w:val="25"/>
          <w:highlight w:val="none"/>
        </w:rPr>
        <w:t>致：</w:t>
      </w:r>
      <w:r>
        <w:rPr>
          <w:rFonts w:hint="eastAsia" w:ascii="宋体" w:hAnsi="宋体" w:cs="宋体"/>
          <w:color w:val="auto"/>
          <w:spacing w:val="30"/>
          <w:sz w:val="25"/>
          <w:szCs w:val="25"/>
          <w:highlight w:val="none"/>
          <w:u w:val="single"/>
        </w:rPr>
        <w:t>如东县欣荣城镇开发建设有限公司</w:t>
      </w:r>
    </w:p>
    <w:p w14:paraId="1E66BCEA">
      <w:pPr>
        <w:spacing w:line="440" w:lineRule="exact"/>
        <w:ind w:firstLine="480"/>
        <w:rPr>
          <w:rFonts w:ascii="宋体" w:hAnsi="宋体" w:cs="宋体"/>
          <w:color w:val="auto"/>
          <w:sz w:val="25"/>
          <w:szCs w:val="25"/>
          <w:highlight w:val="none"/>
        </w:rPr>
      </w:pPr>
      <w:r>
        <w:rPr>
          <w:rFonts w:hint="eastAsia" w:ascii="宋体" w:hAnsi="宋体" w:cs="宋体"/>
          <w:color w:val="auto"/>
          <w:sz w:val="25"/>
          <w:szCs w:val="25"/>
          <w:highlight w:val="none"/>
        </w:rPr>
        <w:t>我单位自愿申请参加</w:t>
      </w:r>
      <w:r>
        <w:rPr>
          <w:rFonts w:hint="eastAsia" w:ascii="宋体" w:hAnsi="宋体" w:cs="宋体"/>
          <w:color w:val="auto"/>
          <w:sz w:val="25"/>
          <w:szCs w:val="25"/>
          <w:highlight w:val="none"/>
          <w:u w:val="single"/>
        </w:rPr>
        <w:t>如东县城湘江路南侧纵三路东侧地块（和美熙苑）建设项目前期物业管理服务项目</w:t>
      </w:r>
      <w:r>
        <w:rPr>
          <w:rFonts w:hint="eastAsia" w:ascii="宋体" w:hAnsi="宋体" w:cs="宋体"/>
          <w:color w:val="auto"/>
          <w:sz w:val="25"/>
          <w:szCs w:val="25"/>
          <w:highlight w:val="none"/>
        </w:rPr>
        <w:t>的资格审查。按照资格审查文件的要求，我单位已编制了资格审查申请文件，现向贵单位提交申请文件，以便贵单位对我单位进行资格审查。</w:t>
      </w:r>
    </w:p>
    <w:p w14:paraId="2964FBBA">
      <w:pPr>
        <w:spacing w:line="440" w:lineRule="exact"/>
        <w:ind w:firstLine="480"/>
        <w:rPr>
          <w:rFonts w:ascii="宋体" w:hAnsi="宋体" w:cs="宋体"/>
          <w:color w:val="auto"/>
          <w:sz w:val="25"/>
          <w:szCs w:val="25"/>
          <w:highlight w:val="none"/>
        </w:rPr>
      </w:pPr>
      <w:r>
        <w:rPr>
          <w:rFonts w:hint="eastAsia" w:ascii="宋体" w:hAnsi="宋体" w:cs="宋体"/>
          <w:color w:val="auto"/>
          <w:sz w:val="25"/>
          <w:szCs w:val="25"/>
          <w:highlight w:val="none"/>
        </w:rPr>
        <w:t>另：本人以</w:t>
      </w:r>
      <w:r>
        <w:rPr>
          <w:rFonts w:hint="eastAsia" w:ascii="宋体" w:hAnsi="宋体" w:cs="宋体"/>
          <w:color w:val="auto"/>
          <w:sz w:val="25"/>
          <w:szCs w:val="25"/>
          <w:highlight w:val="none"/>
          <w:u w:val="single"/>
        </w:rPr>
        <w:t xml:space="preserve">          （申请单位全称）      </w:t>
      </w:r>
      <w:r>
        <w:rPr>
          <w:rFonts w:hint="eastAsia" w:ascii="宋体" w:hAnsi="宋体" w:cs="宋体"/>
          <w:color w:val="auto"/>
          <w:sz w:val="25"/>
          <w:szCs w:val="25"/>
          <w:highlight w:val="none"/>
        </w:rPr>
        <w:t>法定代表人的资格，郑重承诺：本单位此次参加资格审查所提交的所有资料都是真实的。如有虚假，本单位愿意接受招标人做出的取消申请投标资格的决定，同时愿意接受建设行政主管部门依法作出的其他处罚决定。</w:t>
      </w:r>
    </w:p>
    <w:p w14:paraId="7BBBA381">
      <w:pPr>
        <w:spacing w:line="440" w:lineRule="exact"/>
        <w:rPr>
          <w:rFonts w:ascii="宋体" w:hAnsi="宋体" w:cs="宋体"/>
          <w:color w:val="auto"/>
          <w:sz w:val="25"/>
          <w:szCs w:val="25"/>
          <w:highlight w:val="none"/>
        </w:rPr>
      </w:pPr>
      <w:r>
        <w:rPr>
          <w:rFonts w:hint="eastAsia" w:ascii="宋体" w:hAnsi="宋体" w:cs="宋体"/>
          <w:color w:val="auto"/>
          <w:sz w:val="25"/>
          <w:szCs w:val="25"/>
          <w:highlight w:val="none"/>
        </w:rPr>
        <w:t xml:space="preserve">                                </w:t>
      </w:r>
    </w:p>
    <w:p w14:paraId="5D074682">
      <w:pPr>
        <w:spacing w:line="440" w:lineRule="exact"/>
        <w:rPr>
          <w:rFonts w:ascii="宋体" w:hAnsi="宋体" w:cs="宋体"/>
          <w:color w:val="auto"/>
          <w:sz w:val="25"/>
          <w:szCs w:val="25"/>
          <w:highlight w:val="none"/>
        </w:rPr>
      </w:pPr>
    </w:p>
    <w:p w14:paraId="3A63F62C">
      <w:pPr>
        <w:spacing w:line="440" w:lineRule="exact"/>
        <w:ind w:firstLine="4000" w:firstLineChars="1600"/>
        <w:rPr>
          <w:rFonts w:ascii="宋体" w:hAnsi="宋体" w:cs="宋体"/>
          <w:color w:val="auto"/>
          <w:sz w:val="25"/>
          <w:szCs w:val="25"/>
          <w:highlight w:val="none"/>
          <w:u w:val="single"/>
        </w:rPr>
      </w:pPr>
      <w:r>
        <w:rPr>
          <w:rFonts w:hint="eastAsia" w:ascii="宋体" w:hAnsi="宋体" w:cs="宋体"/>
          <w:color w:val="auto"/>
          <w:sz w:val="25"/>
          <w:szCs w:val="25"/>
          <w:highlight w:val="none"/>
        </w:rPr>
        <w:t xml:space="preserve"> 申请单位(</w:t>
      </w:r>
      <w:r>
        <w:rPr>
          <w:rFonts w:hint="eastAsia" w:ascii="宋体" w:hAnsi="宋体" w:cs="宋体"/>
          <w:color w:val="auto"/>
          <w:sz w:val="25"/>
          <w:szCs w:val="25"/>
          <w:highlight w:val="none"/>
          <w:lang w:eastAsia="zh-CN"/>
        </w:rPr>
        <w:t>加盖公章</w:t>
      </w:r>
      <w:r>
        <w:rPr>
          <w:rFonts w:hint="eastAsia" w:ascii="宋体" w:hAnsi="宋体" w:cs="宋体"/>
          <w:color w:val="auto"/>
          <w:sz w:val="25"/>
          <w:szCs w:val="25"/>
          <w:highlight w:val="none"/>
        </w:rPr>
        <w:t>)：</w:t>
      </w:r>
    </w:p>
    <w:p w14:paraId="3542E4E6">
      <w:pPr>
        <w:spacing w:line="440" w:lineRule="exact"/>
        <w:rPr>
          <w:rFonts w:ascii="宋体" w:hAnsi="宋体" w:cs="宋体"/>
          <w:color w:val="auto"/>
          <w:sz w:val="25"/>
          <w:szCs w:val="25"/>
          <w:highlight w:val="none"/>
          <w:u w:val="single"/>
        </w:rPr>
      </w:pPr>
      <w:r>
        <w:rPr>
          <w:rFonts w:hint="eastAsia" w:ascii="宋体" w:hAnsi="宋体" w:cs="宋体"/>
          <w:color w:val="auto"/>
          <w:sz w:val="25"/>
          <w:szCs w:val="25"/>
          <w:highlight w:val="none"/>
        </w:rPr>
        <w:t xml:space="preserve">                                 法定代表人（签字或盖章）：</w:t>
      </w:r>
    </w:p>
    <w:p w14:paraId="34071646">
      <w:pPr>
        <w:spacing w:line="440" w:lineRule="exact"/>
        <w:rPr>
          <w:rFonts w:ascii="宋体" w:hAnsi="宋体" w:cs="宋体"/>
          <w:color w:val="auto"/>
          <w:sz w:val="25"/>
          <w:szCs w:val="25"/>
          <w:highlight w:val="none"/>
          <w:u w:val="single"/>
        </w:rPr>
      </w:pPr>
      <w:r>
        <w:rPr>
          <w:rFonts w:hint="eastAsia" w:ascii="宋体" w:hAnsi="宋体" w:cs="宋体"/>
          <w:color w:val="auto"/>
          <w:sz w:val="25"/>
          <w:szCs w:val="25"/>
          <w:highlight w:val="none"/>
        </w:rPr>
        <w:t xml:space="preserve">                                 授权代理人（如有）(签字或盖章)：</w:t>
      </w:r>
    </w:p>
    <w:p w14:paraId="52A712DD">
      <w:pPr>
        <w:spacing w:line="440" w:lineRule="exact"/>
        <w:rPr>
          <w:rFonts w:ascii="宋体" w:hAnsi="宋体" w:cs="宋体"/>
          <w:color w:val="auto"/>
          <w:sz w:val="25"/>
          <w:szCs w:val="25"/>
          <w:highlight w:val="none"/>
        </w:rPr>
      </w:pPr>
    </w:p>
    <w:p w14:paraId="6F2E9617">
      <w:pPr>
        <w:spacing w:line="440" w:lineRule="exact"/>
        <w:ind w:firstLine="500" w:firstLineChars="200"/>
        <w:rPr>
          <w:rFonts w:ascii="宋体" w:hAnsi="宋体" w:cs="宋体"/>
          <w:color w:val="auto"/>
          <w:sz w:val="25"/>
          <w:szCs w:val="25"/>
          <w:highlight w:val="none"/>
          <w:u w:val="single"/>
        </w:rPr>
      </w:pPr>
      <w:r>
        <w:rPr>
          <w:rFonts w:hint="eastAsia" w:ascii="宋体" w:hAnsi="宋体" w:cs="宋体"/>
          <w:color w:val="auto"/>
          <w:sz w:val="25"/>
          <w:szCs w:val="25"/>
          <w:highlight w:val="none"/>
        </w:rPr>
        <w:t>申请人地址：</w:t>
      </w:r>
    </w:p>
    <w:p w14:paraId="0D9A240B">
      <w:pPr>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邮      编：</w:t>
      </w:r>
    </w:p>
    <w:p w14:paraId="5AE0BF49">
      <w:pPr>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联  系  人：</w:t>
      </w:r>
    </w:p>
    <w:p w14:paraId="3BA8FB39">
      <w:pPr>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联系人手机：</w:t>
      </w:r>
    </w:p>
    <w:p w14:paraId="74304A6B">
      <w:pPr>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电      话：</w:t>
      </w:r>
    </w:p>
    <w:p w14:paraId="7E8BC3F6">
      <w:pPr>
        <w:spacing w:line="440" w:lineRule="exact"/>
        <w:ind w:firstLine="500" w:firstLineChars="200"/>
        <w:rPr>
          <w:rFonts w:ascii="宋体" w:hAnsi="宋体" w:cs="宋体"/>
          <w:color w:val="auto"/>
          <w:sz w:val="25"/>
          <w:szCs w:val="25"/>
          <w:highlight w:val="none"/>
        </w:rPr>
      </w:pPr>
      <w:r>
        <w:rPr>
          <w:rFonts w:hint="eastAsia" w:ascii="宋体" w:hAnsi="宋体" w:cs="宋体"/>
          <w:color w:val="auto"/>
          <w:sz w:val="25"/>
          <w:szCs w:val="25"/>
          <w:highlight w:val="none"/>
        </w:rPr>
        <w:t>传      真：</w:t>
      </w:r>
    </w:p>
    <w:p w14:paraId="451C7FA4">
      <w:pPr>
        <w:spacing w:line="440" w:lineRule="exact"/>
        <w:rPr>
          <w:rFonts w:ascii="宋体" w:hAnsi="宋体" w:cs="宋体"/>
          <w:color w:val="auto"/>
          <w:sz w:val="25"/>
          <w:szCs w:val="25"/>
          <w:highlight w:val="none"/>
        </w:rPr>
      </w:pPr>
      <w:r>
        <w:rPr>
          <w:rFonts w:hint="eastAsia" w:ascii="宋体" w:hAnsi="宋体" w:cs="宋体"/>
          <w:color w:val="auto"/>
          <w:sz w:val="25"/>
          <w:szCs w:val="25"/>
          <w:highlight w:val="none"/>
        </w:rPr>
        <w:t xml:space="preserve">                             日期：</w:t>
      </w:r>
      <w:r>
        <w:rPr>
          <w:rFonts w:hint="eastAsia" w:ascii="宋体" w:hAnsi="宋体" w:cs="宋体"/>
          <w:color w:val="auto"/>
          <w:sz w:val="25"/>
          <w:szCs w:val="25"/>
          <w:highlight w:val="none"/>
          <w:lang w:val="en-US" w:eastAsia="zh-CN"/>
        </w:rPr>
        <w:t xml:space="preserve">  </w:t>
      </w:r>
      <w:r>
        <w:rPr>
          <w:rFonts w:hint="eastAsia" w:ascii="宋体" w:hAnsi="宋体" w:cs="宋体"/>
          <w:color w:val="auto"/>
          <w:sz w:val="25"/>
          <w:szCs w:val="25"/>
          <w:highlight w:val="none"/>
        </w:rPr>
        <w:t>年</w:t>
      </w:r>
      <w:r>
        <w:rPr>
          <w:rFonts w:hint="eastAsia" w:ascii="宋体" w:hAnsi="宋体" w:cs="宋体"/>
          <w:color w:val="auto"/>
          <w:sz w:val="25"/>
          <w:szCs w:val="25"/>
          <w:highlight w:val="none"/>
          <w:lang w:val="en-US" w:eastAsia="zh-CN"/>
        </w:rPr>
        <w:t xml:space="preserve">  </w:t>
      </w:r>
      <w:r>
        <w:rPr>
          <w:rFonts w:hint="eastAsia" w:ascii="宋体" w:hAnsi="宋体" w:cs="宋体"/>
          <w:color w:val="auto"/>
          <w:sz w:val="25"/>
          <w:szCs w:val="25"/>
          <w:highlight w:val="none"/>
        </w:rPr>
        <w:t>月</w:t>
      </w:r>
      <w:r>
        <w:rPr>
          <w:rFonts w:hint="eastAsia" w:ascii="宋体" w:hAnsi="宋体" w:cs="宋体"/>
          <w:color w:val="auto"/>
          <w:sz w:val="25"/>
          <w:szCs w:val="25"/>
          <w:highlight w:val="none"/>
          <w:lang w:val="en-US" w:eastAsia="zh-CN"/>
        </w:rPr>
        <w:t xml:space="preserve">  </w:t>
      </w:r>
      <w:r>
        <w:rPr>
          <w:rFonts w:hint="eastAsia" w:ascii="宋体" w:hAnsi="宋体" w:cs="宋体"/>
          <w:color w:val="auto"/>
          <w:sz w:val="25"/>
          <w:szCs w:val="25"/>
          <w:highlight w:val="none"/>
        </w:rPr>
        <w:t>日</w:t>
      </w:r>
    </w:p>
    <w:p w14:paraId="07490CF5">
      <w:pPr>
        <w:spacing w:line="440" w:lineRule="exact"/>
        <w:ind w:firstLine="315" w:firstLineChars="150"/>
        <w:rPr>
          <w:rFonts w:ascii="宋体" w:hAnsi="宋体"/>
          <w:color w:val="auto"/>
          <w:highlight w:val="none"/>
        </w:rPr>
      </w:pPr>
    </w:p>
    <w:p w14:paraId="3E13CA2D">
      <w:pPr>
        <w:spacing w:line="440" w:lineRule="exact"/>
        <w:ind w:firstLine="315" w:firstLineChars="150"/>
        <w:rPr>
          <w:rFonts w:ascii="宋体" w:hAnsi="宋体"/>
          <w:color w:val="auto"/>
          <w:highlight w:val="none"/>
        </w:rPr>
      </w:pPr>
    </w:p>
    <w:p w14:paraId="3E6213B4">
      <w:pPr>
        <w:spacing w:line="440" w:lineRule="exact"/>
        <w:ind w:firstLine="315" w:firstLineChars="150"/>
        <w:rPr>
          <w:rFonts w:ascii="宋体" w:hAnsi="宋体"/>
          <w:color w:val="auto"/>
          <w:highlight w:val="none"/>
        </w:rPr>
      </w:pPr>
    </w:p>
    <w:p w14:paraId="63A4C4D2">
      <w:pPr>
        <w:spacing w:line="440" w:lineRule="exact"/>
        <w:ind w:firstLine="315" w:firstLineChars="150"/>
        <w:rPr>
          <w:rFonts w:ascii="宋体" w:hAnsi="宋体"/>
          <w:color w:val="auto"/>
          <w:highlight w:val="none"/>
        </w:rPr>
      </w:pPr>
    </w:p>
    <w:p w14:paraId="4002F945">
      <w:pPr>
        <w:spacing w:line="440" w:lineRule="exact"/>
        <w:ind w:firstLine="315" w:firstLineChars="150"/>
        <w:rPr>
          <w:rFonts w:ascii="宋体" w:hAnsi="宋体"/>
          <w:color w:val="auto"/>
          <w:highlight w:val="none"/>
        </w:rPr>
      </w:pPr>
    </w:p>
    <w:p w14:paraId="4A1D69E3">
      <w:pPr>
        <w:spacing w:line="440" w:lineRule="exact"/>
        <w:ind w:firstLine="315" w:firstLineChars="150"/>
        <w:rPr>
          <w:rFonts w:ascii="宋体" w:hAnsi="宋体"/>
          <w:color w:val="auto"/>
          <w:highlight w:val="none"/>
        </w:rPr>
      </w:pPr>
    </w:p>
    <w:p w14:paraId="03F0EB18">
      <w:pPr>
        <w:spacing w:line="440" w:lineRule="exact"/>
        <w:ind w:firstLine="315" w:firstLineChars="150"/>
        <w:rPr>
          <w:rFonts w:ascii="宋体" w:hAnsi="宋体"/>
          <w:color w:val="auto"/>
          <w:highlight w:val="none"/>
        </w:rPr>
      </w:pPr>
    </w:p>
    <w:p w14:paraId="0B5FD9D6">
      <w:pPr>
        <w:spacing w:line="440" w:lineRule="exact"/>
        <w:rPr>
          <w:rFonts w:ascii="宋体" w:hAnsi="宋体"/>
          <w:color w:val="auto"/>
          <w:highlight w:val="none"/>
        </w:rPr>
      </w:pPr>
    </w:p>
    <w:p w14:paraId="0A473ADE">
      <w:pPr>
        <w:rPr>
          <w:rFonts w:ascii="宋体" w:hAnsi="宋体"/>
          <w:color w:val="auto"/>
          <w:highlight w:val="none"/>
        </w:rPr>
      </w:pPr>
    </w:p>
    <w:p w14:paraId="0C9BE295">
      <w:pPr>
        <w:widowControl/>
        <w:jc w:val="left"/>
        <w:rPr>
          <w:rFonts w:ascii="宋体" w:hAnsi="宋体"/>
          <w:color w:val="auto"/>
          <w:sz w:val="28"/>
          <w:szCs w:val="28"/>
          <w:highlight w:val="none"/>
        </w:rPr>
      </w:pPr>
      <w:r>
        <w:rPr>
          <w:rFonts w:hint="eastAsia" w:ascii="宋体" w:hAnsi="宋体"/>
          <w:b/>
          <w:color w:val="auto"/>
          <w:sz w:val="28"/>
          <w:szCs w:val="28"/>
          <w:highlight w:val="none"/>
        </w:rPr>
        <w:t>附件七：</w:t>
      </w:r>
    </w:p>
    <w:p w14:paraId="66174C1F">
      <w:pPr>
        <w:pageBreakBefore w:val="0"/>
        <w:widowControl/>
        <w:kinsoku/>
        <w:wordWrap/>
        <w:overflowPunct/>
        <w:topLinePunct w:val="0"/>
        <w:autoSpaceDE/>
        <w:autoSpaceDN/>
        <w:bidi w:val="0"/>
        <w:adjustRightInd/>
        <w:snapToGrid/>
        <w:spacing w:line="420" w:lineRule="exact"/>
        <w:jc w:val="center"/>
        <w:textAlignment w:val="auto"/>
        <w:rPr>
          <w:rFonts w:hint="eastAsia" w:ascii="宋体" w:hAnsi="宋体" w:eastAsia="宋体" w:cs="宋体"/>
          <w:b/>
          <w:bCs/>
          <w:color w:val="auto"/>
          <w:kern w:val="0"/>
          <w:sz w:val="36"/>
          <w:szCs w:val="36"/>
          <w:highlight w:val="none"/>
          <w:lang w:val="en-US" w:eastAsia="zh-CN"/>
        </w:rPr>
      </w:pPr>
      <w:r>
        <w:rPr>
          <w:rFonts w:hint="eastAsia" w:ascii="宋体" w:hAnsi="宋体" w:cs="宋体"/>
          <w:b/>
          <w:bCs/>
          <w:color w:val="auto"/>
          <w:kern w:val="0"/>
          <w:sz w:val="36"/>
          <w:szCs w:val="36"/>
          <w:highlight w:val="none"/>
        </w:rPr>
        <w:t xml:space="preserve">一、投  标  </w:t>
      </w:r>
      <w:r>
        <w:rPr>
          <w:rFonts w:hint="eastAsia" w:ascii="宋体" w:hAnsi="宋体" w:cs="宋体"/>
          <w:b/>
          <w:bCs/>
          <w:color w:val="auto"/>
          <w:kern w:val="0"/>
          <w:sz w:val="36"/>
          <w:szCs w:val="36"/>
          <w:highlight w:val="none"/>
          <w:lang w:val="en-US" w:eastAsia="zh-CN"/>
        </w:rPr>
        <w:t>报 价 单</w:t>
      </w:r>
    </w:p>
    <w:p w14:paraId="45D8C0B9">
      <w:pPr>
        <w:widowControl/>
        <w:snapToGrid w:val="0"/>
        <w:spacing w:line="360" w:lineRule="auto"/>
        <w:rPr>
          <w:rFonts w:ascii="宋体" w:hAnsi="宋体" w:cs="宋体"/>
          <w:b/>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bCs/>
          <w:color w:val="auto"/>
          <w:kern w:val="0"/>
          <w:sz w:val="24"/>
          <w:highlight w:val="none"/>
          <w:u w:val="single"/>
          <w:lang w:eastAsia="zh-CN"/>
        </w:rPr>
        <w:t>如东县欣荣城镇开发建设有限公司</w:t>
      </w:r>
      <w:r>
        <w:rPr>
          <w:rFonts w:hint="eastAsia" w:ascii="宋体" w:hAnsi="宋体" w:cs="宋体"/>
          <w:color w:val="auto"/>
          <w:sz w:val="24"/>
          <w:highlight w:val="none"/>
        </w:rPr>
        <w:t>：</w:t>
      </w:r>
    </w:p>
    <w:p w14:paraId="139B0D93">
      <w:pPr>
        <w:numPr>
          <w:ilvl w:val="0"/>
          <w:numId w:val="0"/>
        </w:numPr>
        <w:spacing w:line="400" w:lineRule="exact"/>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lang w:eastAsia="zh-CN"/>
        </w:rPr>
        <w:t>一、</w:t>
      </w:r>
      <w:r>
        <w:rPr>
          <w:rFonts w:hint="eastAsia" w:ascii="宋体" w:hAnsi="宋体" w:cs="宋体"/>
          <w:bCs/>
          <w:color w:val="auto"/>
          <w:kern w:val="0"/>
          <w:sz w:val="24"/>
          <w:highlight w:val="none"/>
        </w:rPr>
        <w:t>根据已收到</w:t>
      </w:r>
      <w:r>
        <w:rPr>
          <w:rFonts w:hint="eastAsia" w:ascii="宋体" w:hAnsi="宋体" w:cs="宋体"/>
          <w:b/>
          <w:bCs/>
          <w:color w:val="auto"/>
          <w:kern w:val="0"/>
          <w:sz w:val="24"/>
          <w:highlight w:val="none"/>
          <w:u w:val="single"/>
        </w:rPr>
        <w:t>如东县城湘江路南侧纵三路东侧地块（和美熙苑）建设项目前期物业管理服务项目</w:t>
      </w:r>
      <w:r>
        <w:rPr>
          <w:rFonts w:hint="eastAsia" w:ascii="宋体" w:hAnsi="宋体" w:cs="宋体"/>
          <w:bCs/>
          <w:color w:val="auto"/>
          <w:kern w:val="0"/>
          <w:sz w:val="24"/>
          <w:highlight w:val="none"/>
        </w:rPr>
        <w:t>的招标文件，我单位将遵照《中华人民共和国招标投标法》等有关规定并根据工程招标文件的规定，经考察现场和研究招标文件后，我公司承诺：</w:t>
      </w:r>
    </w:p>
    <w:p w14:paraId="62EBBE3B">
      <w:pPr>
        <w:spacing w:line="400" w:lineRule="exact"/>
        <w:ind w:firstLine="470" w:firstLineChars="196"/>
        <w:rPr>
          <w:rFonts w:ascii="宋体" w:hAnsi="宋体" w:cs="宋体"/>
          <w:color w:val="auto"/>
          <w:sz w:val="24"/>
          <w:highlight w:val="none"/>
        </w:rPr>
      </w:pPr>
      <w:r>
        <w:rPr>
          <w:rFonts w:hint="eastAsia" w:ascii="宋体" w:hAnsi="宋体" w:cs="宋体"/>
          <w:color w:val="auto"/>
          <w:sz w:val="24"/>
          <w:highlight w:val="none"/>
        </w:rPr>
        <w:t>1、愿以人民币￥</w:t>
      </w:r>
      <w:r>
        <w:rPr>
          <w:rFonts w:hint="eastAsia" w:ascii="宋体" w:hAnsi="宋体" w:cs="宋体"/>
          <w:color w:val="auto"/>
          <w:sz w:val="24"/>
          <w:highlight w:val="none"/>
          <w:u w:val="single"/>
        </w:rPr>
        <w:t>(小写)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（大写）</w:t>
      </w:r>
      <w:r>
        <w:rPr>
          <w:rFonts w:hint="eastAsia" w:ascii="宋体" w:hAnsi="宋体" w:cs="宋体"/>
          <w:color w:val="auto"/>
          <w:sz w:val="24"/>
          <w:highlight w:val="none"/>
        </w:rPr>
        <w:t>作为前期介入服务费投标总价；</w:t>
      </w:r>
    </w:p>
    <w:p w14:paraId="3C67AF37">
      <w:pPr>
        <w:widowControl/>
        <w:spacing w:line="400" w:lineRule="exact"/>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2、愿以人民币￥</w:t>
      </w:r>
      <w:r>
        <w:rPr>
          <w:rFonts w:hint="eastAsia" w:ascii="宋体" w:hAnsi="宋体" w:cs="宋体"/>
          <w:color w:val="auto"/>
          <w:sz w:val="24"/>
          <w:highlight w:val="none"/>
          <w:u w:val="single"/>
        </w:rPr>
        <w:t>(小写)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大写）</w:t>
      </w:r>
      <w:r>
        <w:rPr>
          <w:rFonts w:hint="eastAsia" w:ascii="宋体" w:hAnsi="宋体" w:cs="宋体"/>
          <w:color w:val="auto"/>
          <w:sz w:val="24"/>
          <w:highlight w:val="none"/>
        </w:rPr>
        <w:t>作为前期物业服务费投标总价（即：</w:t>
      </w:r>
      <w:r>
        <w:rPr>
          <w:rFonts w:hint="eastAsia" w:ascii="宋体" w:hAnsi="宋体" w:cs="宋体"/>
          <w:color w:val="auto"/>
          <w:sz w:val="24"/>
          <w:highlight w:val="none"/>
          <w:lang w:val="en-US" w:eastAsia="zh-CN"/>
        </w:rPr>
        <w:t>①低层：</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元/月</w:t>
      </w:r>
      <w:r>
        <w:rPr>
          <w:rFonts w:hint="eastAsia" w:ascii="宋体" w:hAnsi="宋体" w:cs="宋体"/>
          <w:color w:val="auto"/>
          <w:kern w:val="0"/>
          <w:sz w:val="24"/>
          <w:highlight w:val="none"/>
        </w:rPr>
        <w:t>·㎡</w:t>
      </w:r>
      <w:r>
        <w:rPr>
          <w:rFonts w:hint="eastAsia" w:ascii="宋体" w:hAnsi="宋体" w:cs="宋体"/>
          <w:color w:val="auto"/>
          <w:sz w:val="24"/>
          <w:highlight w:val="none"/>
        </w:rPr>
        <w:t>*12个月</w:t>
      </w:r>
      <w:r>
        <w:rPr>
          <w:rFonts w:hint="eastAsia" w:ascii="宋体" w:hAnsi="宋体" w:cs="宋体"/>
          <w:color w:val="auto"/>
          <w:sz w:val="24"/>
          <w:highlight w:val="none"/>
          <w:lang w:val="en-US" w:eastAsia="zh-CN"/>
        </w:rPr>
        <w:t>*</w:t>
      </w:r>
      <w:r>
        <w:rPr>
          <w:rFonts w:hint="eastAsia" w:ascii="宋体" w:hAnsi="宋体" w:cs="宋体"/>
          <w:color w:val="auto"/>
          <w:kern w:val="0"/>
          <w:sz w:val="24"/>
          <w:highlight w:val="none"/>
          <w:lang w:val="en-US" w:eastAsia="zh-CN"/>
        </w:rPr>
        <w:t>低层</w:t>
      </w:r>
      <w:r>
        <w:rPr>
          <w:rFonts w:hint="eastAsia" w:ascii="宋体" w:hAnsi="宋体" w:cs="宋体"/>
          <w:color w:val="auto"/>
          <w:sz w:val="24"/>
          <w:highlight w:val="none"/>
        </w:rPr>
        <w:t>住宅产权面积</w:t>
      </w:r>
      <w:r>
        <w:rPr>
          <w:rFonts w:hint="eastAsia" w:ascii="宋体" w:hAnsi="宋体" w:cs="宋体"/>
          <w:b/>
          <w:bCs/>
          <w:color w:val="auto"/>
          <w:sz w:val="24"/>
          <w:highlight w:val="none"/>
        </w:rPr>
        <w:t>10552.24</w:t>
      </w:r>
      <w:r>
        <w:rPr>
          <w:rFonts w:hint="eastAsia" w:ascii="宋体" w:hAnsi="宋体" w:cs="宋体"/>
          <w:color w:val="auto"/>
          <w:kern w:val="0"/>
          <w:sz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3年（不含地下室面积）；②</w:t>
      </w:r>
      <w:r>
        <w:rPr>
          <w:rFonts w:hint="eastAsia" w:ascii="宋体" w:hAnsi="宋体" w:cs="宋体"/>
          <w:color w:val="auto"/>
          <w:sz w:val="24"/>
          <w:highlight w:val="none"/>
        </w:rPr>
        <w:t>高层</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元/月</w:t>
      </w:r>
      <w:r>
        <w:rPr>
          <w:rFonts w:hint="eastAsia" w:ascii="宋体" w:hAnsi="宋体" w:cs="宋体"/>
          <w:color w:val="auto"/>
          <w:kern w:val="0"/>
          <w:sz w:val="24"/>
          <w:highlight w:val="none"/>
        </w:rPr>
        <w:t>·㎡</w:t>
      </w:r>
      <w:r>
        <w:rPr>
          <w:rFonts w:hint="eastAsia" w:ascii="宋体" w:hAnsi="宋体" w:cs="宋体"/>
          <w:color w:val="auto"/>
          <w:sz w:val="24"/>
          <w:highlight w:val="none"/>
        </w:rPr>
        <w:t>*12个月*</w:t>
      </w:r>
      <w:r>
        <w:rPr>
          <w:rFonts w:hint="eastAsia" w:ascii="宋体" w:hAnsi="宋体" w:cs="宋体"/>
          <w:color w:val="auto"/>
          <w:kern w:val="0"/>
          <w:sz w:val="24"/>
          <w:highlight w:val="none"/>
          <w:lang w:val="en-US" w:eastAsia="zh-CN"/>
        </w:rPr>
        <w:t>高层</w:t>
      </w:r>
      <w:r>
        <w:rPr>
          <w:rFonts w:hint="eastAsia" w:ascii="宋体" w:hAnsi="宋体" w:cs="宋体"/>
          <w:color w:val="auto"/>
          <w:sz w:val="24"/>
          <w:highlight w:val="none"/>
        </w:rPr>
        <w:t>住宅产权面积</w:t>
      </w:r>
      <w:r>
        <w:rPr>
          <w:rFonts w:hint="eastAsia" w:ascii="宋体" w:hAnsi="宋体" w:cs="宋体"/>
          <w:b/>
          <w:bCs/>
          <w:color w:val="auto"/>
          <w:sz w:val="24"/>
          <w:highlight w:val="none"/>
        </w:rPr>
        <w:t>33698.67</w:t>
      </w:r>
      <w:r>
        <w:rPr>
          <w:rFonts w:hint="eastAsia" w:ascii="宋体" w:hAnsi="宋体" w:cs="宋体"/>
          <w:color w:val="auto"/>
          <w:kern w:val="0"/>
          <w:sz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3年</w:t>
      </w:r>
      <w:r>
        <w:rPr>
          <w:rFonts w:hint="eastAsia" w:ascii="宋体" w:hAnsi="宋体" w:cs="宋体"/>
          <w:color w:val="auto"/>
          <w:sz w:val="24"/>
          <w:highlight w:val="none"/>
        </w:rPr>
        <w:t>）。</w:t>
      </w:r>
    </w:p>
    <w:p w14:paraId="0C730724">
      <w:pPr>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、愿以人民币￥</w:t>
      </w:r>
      <w:r>
        <w:rPr>
          <w:rFonts w:hint="eastAsia" w:ascii="宋体" w:hAnsi="宋体" w:cs="宋体"/>
          <w:color w:val="auto"/>
          <w:sz w:val="24"/>
          <w:highlight w:val="none"/>
          <w:u w:val="single"/>
        </w:rPr>
        <w:t>(小写)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rPr>
        <w:t>（大写）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作为前期地下车位服务费投标总价（即：</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元/月</w:t>
      </w:r>
      <w:r>
        <w:rPr>
          <w:rFonts w:hint="eastAsia" w:ascii="宋体" w:hAnsi="宋体" w:cs="宋体"/>
          <w:color w:val="auto"/>
          <w:kern w:val="0"/>
          <w:sz w:val="24"/>
          <w:highlight w:val="none"/>
        </w:rPr>
        <w:t>·个</w:t>
      </w:r>
      <w:r>
        <w:rPr>
          <w:rFonts w:hint="eastAsia" w:ascii="宋体" w:hAnsi="宋体" w:cs="宋体"/>
          <w:color w:val="auto"/>
          <w:sz w:val="24"/>
          <w:highlight w:val="none"/>
        </w:rPr>
        <w:t>*12个月*产权车位数量</w:t>
      </w:r>
      <w:r>
        <w:rPr>
          <w:rFonts w:hint="eastAsia" w:ascii="宋体" w:hAnsi="宋体" w:cs="宋体"/>
          <w:color w:val="auto"/>
          <w:sz w:val="24"/>
          <w:highlight w:val="none"/>
          <w:u w:val="single"/>
          <w:lang w:val="en-US" w:eastAsia="zh-CN"/>
        </w:rPr>
        <w:t xml:space="preserve"> 553</w:t>
      </w:r>
      <w:r>
        <w:rPr>
          <w:rFonts w:hint="eastAsia" w:ascii="宋体" w:hAnsi="宋体" w:cs="宋体"/>
          <w:color w:val="auto"/>
          <w:sz w:val="24"/>
          <w:highlight w:val="none"/>
        </w:rPr>
        <w:t xml:space="preserve">个*3年）。      </w:t>
      </w:r>
    </w:p>
    <w:p w14:paraId="401DDF11">
      <w:pPr>
        <w:widowControl/>
        <w:spacing w:line="400" w:lineRule="exact"/>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我单位愿以人民币</w:t>
      </w:r>
      <w:r>
        <w:rPr>
          <w:rFonts w:hint="eastAsia" w:ascii="宋体" w:hAnsi="宋体" w:cs="宋体"/>
          <w:b/>
          <w:color w:val="auto"/>
          <w:sz w:val="24"/>
          <w:highlight w:val="none"/>
          <w:lang w:val="en-US" w:eastAsia="zh-CN"/>
        </w:rPr>
        <w:t>1+2+3</w:t>
      </w:r>
      <w:r>
        <w:rPr>
          <w:rFonts w:hint="eastAsia" w:ascii="宋体" w:hAnsi="宋体" w:cs="宋体"/>
          <w:b/>
          <w:color w:val="auto"/>
          <w:sz w:val="24"/>
          <w:highlight w:val="none"/>
        </w:rPr>
        <w:t>：</w:t>
      </w:r>
      <w:r>
        <w:rPr>
          <w:rFonts w:hint="eastAsia" w:ascii="宋体" w:hAnsi="宋体" w:cs="宋体"/>
          <w:color w:val="auto"/>
          <w:sz w:val="24"/>
          <w:highlight w:val="none"/>
        </w:rPr>
        <w:t>￥</w:t>
      </w:r>
      <w:r>
        <w:rPr>
          <w:rFonts w:hint="eastAsia" w:ascii="宋体" w:hAnsi="宋体" w:cs="宋体"/>
          <w:color w:val="auto"/>
          <w:sz w:val="24"/>
          <w:highlight w:val="none"/>
          <w:u w:val="single"/>
        </w:rPr>
        <w:t>(小写)</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（大写）</w:t>
      </w:r>
      <w:r>
        <w:rPr>
          <w:rFonts w:hint="eastAsia" w:ascii="宋体" w:hAnsi="宋体" w:cs="宋体"/>
          <w:b/>
          <w:color w:val="auto"/>
          <w:sz w:val="24"/>
          <w:highlight w:val="none"/>
        </w:rPr>
        <w:t>作为</w:t>
      </w:r>
      <w:r>
        <w:rPr>
          <w:rFonts w:hint="eastAsia" w:ascii="宋体" w:hAnsi="宋体" w:cs="宋体"/>
          <w:b/>
          <w:color w:val="auto"/>
          <w:sz w:val="24"/>
          <w:highlight w:val="none"/>
          <w:lang w:eastAsia="zh-CN"/>
        </w:rPr>
        <w:t>本项目</w:t>
      </w:r>
      <w:r>
        <w:rPr>
          <w:rFonts w:hint="eastAsia" w:ascii="宋体" w:hAnsi="宋体" w:cs="宋体"/>
          <w:b/>
          <w:color w:val="auto"/>
          <w:sz w:val="24"/>
          <w:highlight w:val="none"/>
        </w:rPr>
        <w:t xml:space="preserve">投标总价。                                                                                                                                                                                                                                                                                                                                                                                                                         </w:t>
      </w:r>
    </w:p>
    <w:p w14:paraId="299D7028">
      <w:pPr>
        <w:widowControl/>
        <w:spacing w:line="400" w:lineRule="exact"/>
        <w:ind w:firstLine="480" w:firstLineChars="200"/>
        <w:jc w:val="left"/>
        <w:rPr>
          <w:rFonts w:hint="eastAsia" w:ascii="宋体" w:hAnsi="宋体" w:cs="宋体"/>
          <w:b/>
          <w:color w:val="auto"/>
          <w:kern w:val="0"/>
          <w:sz w:val="24"/>
          <w:highlight w:val="none"/>
        </w:rPr>
      </w:pPr>
      <w:r>
        <w:rPr>
          <w:rFonts w:hint="eastAsia" w:ascii="宋体" w:hAnsi="宋体" w:cs="宋体"/>
          <w:color w:val="auto"/>
          <w:kern w:val="0"/>
          <w:sz w:val="24"/>
          <w:highlight w:val="none"/>
        </w:rPr>
        <w:t>合同期限：</w:t>
      </w:r>
      <w:r>
        <w:rPr>
          <w:rFonts w:hint="eastAsia" w:ascii="宋体" w:hAnsi="宋体" w:cs="宋体"/>
          <w:b/>
          <w:color w:val="auto"/>
          <w:kern w:val="0"/>
          <w:sz w:val="24"/>
          <w:highlight w:val="none"/>
        </w:rPr>
        <w:t>合同期暂定</w:t>
      </w:r>
      <w:r>
        <w:rPr>
          <w:rFonts w:hint="eastAsia" w:ascii="宋体" w:hAnsi="宋体" w:cs="宋体"/>
          <w:b/>
          <w:color w:val="auto"/>
          <w:kern w:val="0"/>
          <w:sz w:val="24"/>
          <w:highlight w:val="none"/>
          <w:u w:val="single"/>
        </w:rPr>
        <w:t xml:space="preserve">  3  </w:t>
      </w:r>
      <w:r>
        <w:rPr>
          <w:rFonts w:hint="eastAsia" w:ascii="宋体" w:hAnsi="宋体" w:cs="宋体"/>
          <w:b/>
          <w:color w:val="auto"/>
          <w:kern w:val="0"/>
          <w:sz w:val="24"/>
          <w:highlight w:val="none"/>
        </w:rPr>
        <w:t>年</w:t>
      </w:r>
      <w:r>
        <w:rPr>
          <w:rFonts w:hint="eastAsia" w:ascii="宋体" w:hAnsi="宋体" w:cs="宋体"/>
          <w:color w:val="auto"/>
          <w:kern w:val="0"/>
          <w:sz w:val="24"/>
          <w:highlight w:val="none"/>
        </w:rPr>
        <w:t>，合同具体起止日期：</w:t>
      </w:r>
      <w:r>
        <w:rPr>
          <w:rFonts w:hint="eastAsia" w:ascii="宋体" w:hAnsi="宋体" w:cs="宋体"/>
          <w:b/>
          <w:color w:val="auto"/>
          <w:kern w:val="0"/>
          <w:sz w:val="24"/>
          <w:highlight w:val="none"/>
          <w:u w:val="single"/>
        </w:rPr>
        <w:t>自合同生效之日起至业主委员会成立</w:t>
      </w:r>
      <w:r>
        <w:rPr>
          <w:rFonts w:hint="eastAsia" w:ascii="宋体" w:hAnsi="宋体" w:cs="宋体"/>
          <w:b/>
          <w:color w:val="auto"/>
          <w:kern w:val="0"/>
          <w:sz w:val="24"/>
          <w:highlight w:val="none"/>
          <w:u w:val="single"/>
          <w:lang w:eastAsia="zh-CN"/>
        </w:rPr>
        <w:t>、</w:t>
      </w:r>
      <w:r>
        <w:rPr>
          <w:rFonts w:hint="eastAsia" w:ascii="宋体" w:hAnsi="宋体" w:cs="宋体"/>
          <w:b/>
          <w:color w:val="auto"/>
          <w:kern w:val="0"/>
          <w:sz w:val="24"/>
          <w:highlight w:val="none"/>
          <w:u w:val="single"/>
        </w:rPr>
        <w:t>首届业主大会召开之日止</w:t>
      </w:r>
      <w:r>
        <w:rPr>
          <w:rFonts w:hint="eastAsia" w:ascii="宋体" w:hAnsi="宋体" w:cs="宋体"/>
          <w:b/>
          <w:color w:val="auto"/>
          <w:kern w:val="0"/>
          <w:sz w:val="24"/>
          <w:highlight w:val="none"/>
        </w:rPr>
        <w:t>。</w:t>
      </w:r>
    </w:p>
    <w:p w14:paraId="23342A99">
      <w:pPr>
        <w:widowControl/>
        <w:spacing w:line="4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二、我方已将</w:t>
      </w:r>
      <w:r>
        <w:rPr>
          <w:rFonts w:hint="eastAsia" w:ascii="宋体" w:hAnsi="宋体" w:cs="宋体"/>
          <w:color w:val="auto"/>
          <w:sz w:val="24"/>
          <w:highlight w:val="none"/>
          <w:u w:val="single"/>
          <w:lang w:val="en-US" w:eastAsia="zh-CN"/>
        </w:rPr>
        <w:t>/</w:t>
      </w:r>
      <w:r>
        <w:rPr>
          <w:rFonts w:hint="eastAsia" w:ascii="宋体" w:hAnsi="宋体" w:cs="宋体"/>
          <w:b/>
          <w:bCs/>
          <w:color w:val="auto"/>
          <w:sz w:val="24"/>
          <w:highlight w:val="none"/>
        </w:rPr>
        <w:t>元</w:t>
      </w:r>
      <w:r>
        <w:rPr>
          <w:rFonts w:hint="eastAsia" w:ascii="宋体" w:hAnsi="宋体" w:cs="宋体"/>
          <w:color w:val="auto"/>
          <w:sz w:val="24"/>
          <w:highlight w:val="none"/>
        </w:rPr>
        <w:t>作为投标保证金进行提交。</w:t>
      </w:r>
    </w:p>
    <w:p w14:paraId="73BA1AD3">
      <w:pPr>
        <w:widowControl/>
        <w:tabs>
          <w:tab w:val="left" w:pos="630"/>
        </w:tabs>
        <w:spacing w:line="400" w:lineRule="exact"/>
        <w:ind w:firstLine="480" w:firstLineChars="200"/>
        <w:jc w:val="left"/>
        <w:rPr>
          <w:rFonts w:ascii="宋体" w:hAnsi="宋体" w:cs="宋体"/>
          <w:b/>
          <w:bCs/>
          <w:color w:val="auto"/>
          <w:kern w:val="0"/>
          <w:sz w:val="24"/>
          <w:highlight w:val="none"/>
        </w:rPr>
      </w:pPr>
      <w:r>
        <w:rPr>
          <w:rFonts w:hint="eastAsia" w:ascii="宋体" w:hAnsi="宋体" w:cs="宋体"/>
          <w:bCs/>
          <w:color w:val="auto"/>
          <w:kern w:val="0"/>
          <w:sz w:val="24"/>
          <w:highlight w:val="none"/>
        </w:rPr>
        <w:t>三、</w:t>
      </w:r>
      <w:r>
        <w:rPr>
          <w:rFonts w:hint="eastAsia" w:ascii="宋体" w:hAnsi="宋体" w:cs="宋体"/>
          <w:b/>
          <w:bCs/>
          <w:color w:val="auto"/>
          <w:kern w:val="0"/>
          <w:sz w:val="24"/>
          <w:highlight w:val="none"/>
        </w:rPr>
        <w:t>我方谨郑重声明以下诸点并对之负法律责任：</w:t>
      </w:r>
    </w:p>
    <w:p w14:paraId="4E006DF9">
      <w:pPr>
        <w:widowControl/>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1、完全满足招标文件中全部实质性要求。</w:t>
      </w:r>
    </w:p>
    <w:p w14:paraId="6D555824">
      <w:pPr>
        <w:widowControl/>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2、保证遵守招标文件中的有关规定和收费标准。</w:t>
      </w:r>
    </w:p>
    <w:p w14:paraId="1F9659AB">
      <w:pPr>
        <w:widowControl/>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3、保证忠实地执行双方所签署的合同，并承担合同规定的责任义务。</w:t>
      </w:r>
    </w:p>
    <w:p w14:paraId="58F0FB86">
      <w:pPr>
        <w:widowControl/>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4、愿意向贵方提供任何与该项目投标有关的数据、情况和技术资料。</w:t>
      </w:r>
    </w:p>
    <w:p w14:paraId="346853A9">
      <w:pPr>
        <w:widowControl/>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5、我们已详细审核全部招标文件、参考资料及有关附件，我们知道必须放弃提出含糊不清或误解问题的权利。</w:t>
      </w:r>
    </w:p>
    <w:p w14:paraId="5C579DA5">
      <w:pPr>
        <w:widowControl/>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6、如果在评定后规定的有效期内撤回报价或有其他违约行为，我们的投标保金可被贵方没收。</w:t>
      </w:r>
    </w:p>
    <w:p w14:paraId="2CAD3AB1">
      <w:pPr>
        <w:widowControl/>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7、本投标自开标之日起</w:t>
      </w:r>
      <w:r>
        <w:rPr>
          <w:rFonts w:hint="eastAsia" w:ascii="宋体" w:hAnsi="宋体" w:cs="宋体"/>
          <w:bCs/>
          <w:color w:val="auto"/>
          <w:kern w:val="0"/>
          <w:sz w:val="24"/>
          <w:highlight w:val="none"/>
          <w:lang w:val="en-US" w:eastAsia="zh-CN"/>
        </w:rPr>
        <w:t>9</w:t>
      </w:r>
      <w:r>
        <w:rPr>
          <w:rFonts w:hint="eastAsia" w:ascii="宋体" w:hAnsi="宋体" w:cs="宋体"/>
          <w:bCs/>
          <w:color w:val="auto"/>
          <w:kern w:val="0"/>
          <w:sz w:val="24"/>
          <w:highlight w:val="none"/>
        </w:rPr>
        <w:t>0天内有效。</w:t>
      </w:r>
    </w:p>
    <w:p w14:paraId="1A9D7AE5">
      <w:pPr>
        <w:widowControl/>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四、贵方的招标文件、中标通知书和本投标文件将构成约束我们双方的合同。</w:t>
      </w:r>
    </w:p>
    <w:p w14:paraId="5D3A512F">
      <w:pPr>
        <w:widowControl/>
        <w:spacing w:line="400" w:lineRule="exact"/>
        <w:ind w:firstLine="480" w:firstLineChars="200"/>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五、</w:t>
      </w:r>
      <w:r>
        <w:rPr>
          <w:rFonts w:hint="eastAsia" w:ascii="宋体" w:hAnsi="宋体" w:eastAsia="宋体" w:cs="宋体"/>
          <w:bCs/>
          <w:color w:val="auto"/>
          <w:kern w:val="0"/>
          <w:sz w:val="24"/>
          <w:highlight w:val="none"/>
          <w:u w:val="none"/>
        </w:rPr>
        <w:t>物业服务等级</w:t>
      </w:r>
      <w:r>
        <w:rPr>
          <w:rFonts w:hint="eastAsia" w:ascii="宋体" w:hAnsi="宋体" w:eastAsia="宋体" w:cs="宋体"/>
          <w:bCs/>
          <w:color w:val="auto"/>
          <w:kern w:val="0"/>
          <w:sz w:val="24"/>
          <w:highlight w:val="none"/>
          <w:u w:val="none"/>
          <w:lang w:val="en-US" w:eastAsia="zh-CN"/>
        </w:rPr>
        <w:t>按《如东城建指挥部（2023）9号关于如东县高品质住宅和非普通住宅认定标准和认定流程相关事宜的会议纪要》，参照改善型高品质住宅标准执行。</w:t>
      </w:r>
    </w:p>
    <w:p w14:paraId="30749AC4">
      <w:pPr>
        <w:widowControl/>
        <w:spacing w:line="400" w:lineRule="exact"/>
        <w:ind w:firstLine="482" w:firstLineChars="200"/>
        <w:jc w:val="left"/>
        <w:rPr>
          <w:rFonts w:hint="eastAsia" w:hAnsi="宋体" w:cs="宋体"/>
          <w:b/>
          <w:bCs w:val="0"/>
          <w:color w:val="auto"/>
          <w:sz w:val="24"/>
          <w:szCs w:val="24"/>
          <w:highlight w:val="none"/>
          <w:lang w:eastAsia="zh-CN"/>
        </w:rPr>
      </w:pPr>
    </w:p>
    <w:p w14:paraId="0F8851EF">
      <w:pPr>
        <w:widowControl/>
        <w:spacing w:line="400" w:lineRule="exact"/>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投标人（盖</w:t>
      </w:r>
      <w:r>
        <w:rPr>
          <w:rFonts w:hint="eastAsia" w:ascii="宋体" w:hAnsi="宋体" w:cs="宋体"/>
          <w:bCs/>
          <w:color w:val="auto"/>
          <w:kern w:val="0"/>
          <w:sz w:val="24"/>
          <w:highlight w:val="none"/>
          <w:lang w:eastAsia="zh-CN"/>
        </w:rPr>
        <w:t>公</w:t>
      </w:r>
      <w:r>
        <w:rPr>
          <w:rFonts w:hint="eastAsia" w:ascii="宋体" w:hAnsi="宋体" w:cs="宋体"/>
          <w:bCs/>
          <w:color w:val="auto"/>
          <w:kern w:val="0"/>
          <w:sz w:val="24"/>
          <w:highlight w:val="none"/>
        </w:rPr>
        <w:t>章）：</w:t>
      </w:r>
    </w:p>
    <w:p w14:paraId="0B2B5C57">
      <w:pPr>
        <w:widowControl/>
        <w:spacing w:line="400" w:lineRule="exact"/>
        <w:ind w:firstLine="480" w:firstLineChars="200"/>
        <w:jc w:val="left"/>
        <w:rPr>
          <w:rFonts w:hint="default" w:ascii="宋体" w:hAnsi="宋体" w:eastAsia="宋体" w:cs="宋体"/>
          <w:bCs/>
          <w:color w:val="auto"/>
          <w:kern w:val="0"/>
          <w:sz w:val="24"/>
          <w:highlight w:val="none"/>
          <w:u w:val="single"/>
          <w:lang w:val="en-US" w:eastAsia="zh-CN"/>
        </w:rPr>
      </w:pPr>
      <w:r>
        <w:rPr>
          <w:rFonts w:hint="eastAsia" w:ascii="宋体" w:hAnsi="宋体" w:cs="宋体"/>
          <w:bCs/>
          <w:color w:val="auto"/>
          <w:kern w:val="0"/>
          <w:sz w:val="24"/>
          <w:highlight w:val="none"/>
        </w:rPr>
        <w:t>法定代表人（签字或盖章）：</w:t>
      </w:r>
      <w:r>
        <w:rPr>
          <w:rFonts w:hint="eastAsia" w:ascii="宋体" w:hAnsi="宋体" w:cs="宋体"/>
          <w:bCs/>
          <w:color w:val="auto"/>
          <w:kern w:val="0"/>
          <w:sz w:val="24"/>
          <w:highlight w:val="none"/>
          <w:lang w:val="en-US" w:eastAsia="zh-CN"/>
        </w:rPr>
        <w:t xml:space="preserve">                      </w:t>
      </w:r>
      <w:r>
        <w:rPr>
          <w:rFonts w:hint="eastAsia" w:ascii="宋体" w:hAnsi="宋体" w:cs="宋体"/>
          <w:bCs/>
          <w:color w:val="auto"/>
          <w:kern w:val="0"/>
          <w:sz w:val="24"/>
          <w:highlight w:val="none"/>
        </w:rPr>
        <w:t>日     期：</w:t>
      </w:r>
      <w:r>
        <w:rPr>
          <w:rFonts w:hint="eastAsia" w:ascii="宋体" w:hAnsi="宋体" w:cs="宋体"/>
          <w:bCs/>
          <w:color w:val="auto"/>
          <w:kern w:val="0"/>
          <w:sz w:val="24"/>
          <w:highlight w:val="none"/>
          <w:lang w:val="en-US" w:eastAsia="zh-CN"/>
        </w:rPr>
        <w:t xml:space="preserve">  年   月  日</w:t>
      </w:r>
    </w:p>
    <w:p w14:paraId="5B014B0A">
      <w:pPr>
        <w:spacing w:line="400" w:lineRule="exact"/>
        <w:rPr>
          <w:rFonts w:ascii="宋体" w:hAnsi="宋体" w:cs="宋体"/>
          <w:b/>
          <w:color w:val="auto"/>
          <w:sz w:val="36"/>
          <w:szCs w:val="36"/>
          <w:highlight w:val="none"/>
        </w:rPr>
      </w:pPr>
      <w:r>
        <w:rPr>
          <w:rFonts w:hint="eastAsia" w:ascii="宋体" w:hAnsi="宋体" w:cs="宋体"/>
          <w:b/>
          <w:color w:val="auto"/>
          <w:sz w:val="36"/>
          <w:szCs w:val="36"/>
          <w:highlight w:val="none"/>
        </w:rPr>
        <w:br w:type="page"/>
      </w:r>
    </w:p>
    <w:p w14:paraId="34FF175C">
      <w:pPr>
        <w:pStyle w:val="18"/>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清单编制说明</w:t>
      </w:r>
    </w:p>
    <w:p w14:paraId="1BC65649">
      <w:pPr>
        <w:rPr>
          <w:color w:val="auto"/>
          <w:highlight w:val="none"/>
        </w:rPr>
      </w:pPr>
    </w:p>
    <w:p w14:paraId="588F439C">
      <w:pPr>
        <w:spacing w:line="360" w:lineRule="auto"/>
        <w:rPr>
          <w:rFonts w:ascii="宋体" w:hAnsi="宋体" w:cs="宋体"/>
          <w:color w:val="auto"/>
          <w:sz w:val="24"/>
          <w:highlight w:val="none"/>
        </w:rPr>
      </w:pPr>
      <w:r>
        <w:rPr>
          <w:rFonts w:hint="eastAsia" w:ascii="宋体" w:hAnsi="宋体" w:cs="宋体"/>
          <w:color w:val="auto"/>
          <w:sz w:val="24"/>
          <w:highlight w:val="none"/>
        </w:rPr>
        <w:t>1、投标报价总价为</w:t>
      </w:r>
      <w:r>
        <w:rPr>
          <w:rFonts w:hint="eastAsia" w:ascii="宋体" w:hAnsi="宋体" w:cs="宋体"/>
          <w:color w:val="auto"/>
          <w:sz w:val="24"/>
          <w:highlight w:val="none"/>
          <w:u w:val="single"/>
        </w:rPr>
        <w:t>3</w:t>
      </w:r>
      <w:r>
        <w:rPr>
          <w:rFonts w:hint="eastAsia" w:ascii="宋体" w:hAnsi="宋体" w:cs="宋体"/>
          <w:color w:val="auto"/>
          <w:sz w:val="24"/>
          <w:highlight w:val="none"/>
        </w:rPr>
        <w:t>年总费用，包括所有人员的工资、福利、保险、服装、通信工具、所有依法应缴纳的社会保险、清洁消毒剂、劳保用品、防护用品、垃圾袋及完成该项目所需清洁等必须工具；物业管理区域内清洁卫生费及生活垃圾清运处置费；物业共用部位、共用设施设备的维护费用；物业服务企业办公费；合理利润；物业服务企业固定资产折旧费；</w:t>
      </w:r>
      <w:r>
        <w:rPr>
          <w:rFonts w:hint="eastAsia" w:ascii="宋体" w:hAnsi="宋体" w:cs="宋体"/>
          <w:color w:val="auto"/>
          <w:sz w:val="24"/>
          <w:highlight w:val="none"/>
          <w:lang w:val="en-US" w:eastAsia="zh-CN"/>
        </w:rPr>
        <w:t>空置房定期查验清扫、</w:t>
      </w:r>
      <w:r>
        <w:rPr>
          <w:rFonts w:hint="eastAsia" w:ascii="宋体" w:hAnsi="宋体" w:cs="宋体"/>
          <w:color w:val="auto"/>
          <w:sz w:val="24"/>
          <w:highlight w:val="none"/>
        </w:rPr>
        <w:t>一切税费等招标文件要求的所有费用。</w:t>
      </w:r>
    </w:p>
    <w:p w14:paraId="4402D5B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2、投标方应根据招标文件的要求写明本项目的物业管理总收费报价金额，并注明不同房屋类型收费单价。前期物业介入费包含物业开办费及办公物资费。物业服务费投标总报价包括电梯维保、</w:t>
      </w:r>
      <w:r>
        <w:rPr>
          <w:rFonts w:hint="eastAsia" w:ascii="宋体" w:hAnsi="宋体" w:cs="宋体"/>
          <w:color w:val="auto"/>
          <w:kern w:val="0"/>
          <w:sz w:val="24"/>
          <w:highlight w:val="none"/>
          <w:lang w:eastAsia="zh-CN"/>
        </w:rPr>
        <w:t>电梯年检、智能化维保、消防维保</w:t>
      </w:r>
      <w:r>
        <w:rPr>
          <w:rFonts w:hint="eastAsia" w:ascii="宋体" w:hAnsi="宋体" w:cs="宋体"/>
          <w:color w:val="auto"/>
          <w:kern w:val="0"/>
          <w:sz w:val="24"/>
          <w:highlight w:val="none"/>
        </w:rPr>
        <w:t>（维保设备包括</w:t>
      </w:r>
      <w:r>
        <w:rPr>
          <w:rFonts w:hint="eastAsia" w:ascii="宋体" w:hAnsi="宋体" w:cs="宋体"/>
          <w:color w:val="auto"/>
          <w:kern w:val="0"/>
          <w:sz w:val="24"/>
          <w:highlight w:val="none"/>
          <w:lang w:val="en-US" w:eastAsia="zh-CN"/>
        </w:rPr>
        <w:t>但不限于</w:t>
      </w:r>
      <w:r>
        <w:rPr>
          <w:rFonts w:hint="eastAsia" w:ascii="宋体" w:hAnsi="宋体" w:cs="宋体"/>
          <w:color w:val="auto"/>
          <w:kern w:val="0"/>
          <w:sz w:val="24"/>
          <w:highlight w:val="none"/>
        </w:rPr>
        <w:t>：（1）消防供配电设施；（2）火灾自动报警系统（3）消防供水设施；（4）消火栓（消防炮）灭火系统；（5）自动喷水灭火系统；（6）可燃气体探测报警系统；（7）气体灭火系统；（8）防排烟系统；（9）火灾应急照明和疏散指示标志；（10）应急广播系统；（11）消防专用电话；（12）防火分隔设施；（13）消防电梯</w:t>
      </w:r>
      <w:r>
        <w:rPr>
          <w:rFonts w:hint="eastAsia" w:ascii="宋体" w:hAnsi="宋体" w:cs="宋体"/>
          <w:color w:val="auto"/>
          <w:kern w:val="0"/>
          <w:sz w:val="24"/>
          <w:highlight w:val="none"/>
          <w:lang w:eastAsia="zh-CN"/>
        </w:rPr>
        <w:t>及担架电梯</w:t>
      </w:r>
      <w:r>
        <w:rPr>
          <w:rFonts w:hint="eastAsia" w:ascii="宋体" w:hAnsi="宋体" w:cs="宋体"/>
          <w:color w:val="auto"/>
          <w:kern w:val="0"/>
          <w:sz w:val="24"/>
          <w:highlight w:val="none"/>
        </w:rPr>
        <w:t>；（14）电气火灾监控系统；（15）灭火器；（16）其他建筑消防设施；（17）生活水泵，污水泵的设备维保）和防雷检测等费用。共用的电梯、水泵、监控机房等设施设备运行电费及公共照明、公共用水等公共能耗费由业主分摊</w:t>
      </w:r>
      <w:r>
        <w:rPr>
          <w:rFonts w:hint="eastAsia" w:ascii="宋体" w:hAnsi="宋体" w:eastAsia="宋体" w:cs="宋体"/>
          <w:color w:val="auto"/>
          <w:kern w:val="0"/>
          <w:sz w:val="24"/>
          <w:highlight w:val="none"/>
          <w:lang w:eastAsia="zh-CN"/>
        </w:rPr>
        <w:t>（</w:t>
      </w:r>
      <w:r>
        <w:rPr>
          <w:rFonts w:hint="eastAsia" w:ascii="宋体" w:hAnsi="宋体" w:eastAsia="宋体" w:cs="宋体"/>
          <w:b/>
          <w:bCs w:val="0"/>
          <w:color w:val="auto"/>
          <w:kern w:val="2"/>
          <w:sz w:val="24"/>
          <w:szCs w:val="24"/>
          <w:highlight w:val="none"/>
          <w:lang w:val="en-US" w:eastAsia="zh-CN" w:bidi="ar-SA"/>
        </w:rPr>
        <w:t>注：不包括公共能耗费（公共能耗费预收</w:t>
      </w:r>
      <w:r>
        <w:rPr>
          <w:rFonts w:hint="eastAsia" w:ascii="宋体" w:hAnsi="宋体" w:cs="宋体"/>
          <w:b/>
          <w:bCs w:val="0"/>
          <w:color w:val="auto"/>
          <w:kern w:val="2"/>
          <w:sz w:val="24"/>
          <w:szCs w:val="24"/>
          <w:highlight w:val="none"/>
          <w:lang w:val="en-US" w:eastAsia="zh-CN" w:bidi="ar-SA"/>
        </w:rPr>
        <w:t>0.5</w:t>
      </w:r>
      <w:r>
        <w:rPr>
          <w:rFonts w:hint="eastAsia" w:ascii="宋体" w:hAnsi="宋体" w:eastAsia="宋体" w:cs="宋体"/>
          <w:b/>
          <w:bCs w:val="0"/>
          <w:color w:val="auto"/>
          <w:kern w:val="2"/>
          <w:sz w:val="24"/>
          <w:szCs w:val="24"/>
          <w:highlight w:val="none"/>
          <w:lang w:val="en-US" w:eastAsia="zh-CN" w:bidi="ar-SA"/>
        </w:rPr>
        <w:t>元/</w:t>
      </w:r>
      <w:r>
        <w:rPr>
          <w:rFonts w:hint="eastAsia" w:ascii="宋体" w:hAnsi="宋体" w:cs="宋体"/>
          <w:b/>
          <w:bCs w:val="0"/>
          <w:color w:val="auto"/>
          <w:kern w:val="2"/>
          <w:sz w:val="24"/>
          <w:szCs w:val="24"/>
          <w:highlight w:val="none"/>
          <w:lang w:val="en-US" w:eastAsia="zh-CN" w:bidi="ar-SA"/>
        </w:rPr>
        <w:t>平方米</w:t>
      </w:r>
      <w:r>
        <w:rPr>
          <w:rFonts w:hint="eastAsia" w:ascii="宋体" w:hAnsi="宋体" w:eastAsia="宋体" w:cs="宋体"/>
          <w:b/>
          <w:bCs w:val="0"/>
          <w:color w:val="auto"/>
          <w:kern w:val="2"/>
          <w:sz w:val="24"/>
          <w:szCs w:val="24"/>
          <w:highlight w:val="none"/>
          <w:lang w:val="en-US" w:eastAsia="zh-CN" w:bidi="ar-SA"/>
        </w:rPr>
        <w:t>/</w:t>
      </w:r>
      <w:r>
        <w:rPr>
          <w:rFonts w:hint="eastAsia" w:ascii="宋体" w:hAnsi="宋体" w:cs="宋体"/>
          <w:b/>
          <w:bCs w:val="0"/>
          <w:color w:val="auto"/>
          <w:kern w:val="2"/>
          <w:sz w:val="24"/>
          <w:szCs w:val="24"/>
          <w:highlight w:val="none"/>
          <w:lang w:val="en-US" w:eastAsia="zh-CN" w:bidi="ar-SA"/>
        </w:rPr>
        <w:t>月</w:t>
      </w:r>
      <w:r>
        <w:rPr>
          <w:rFonts w:hint="eastAsia" w:ascii="宋体" w:hAnsi="宋体" w:eastAsia="宋体" w:cs="宋体"/>
          <w:b/>
          <w:bCs w:val="0"/>
          <w:color w:val="auto"/>
          <w:kern w:val="2"/>
          <w:sz w:val="24"/>
          <w:szCs w:val="24"/>
          <w:highlight w:val="none"/>
          <w:lang w:val="en-US" w:eastAsia="zh-CN" w:bidi="ar-SA"/>
        </w:rPr>
        <w:t>，多退少补）</w:t>
      </w:r>
      <w:r>
        <w:rPr>
          <w:rFonts w:hint="eastAsia" w:ascii="宋体" w:hAnsi="宋体" w:cs="宋体"/>
          <w:b/>
          <w:bCs w:val="0"/>
          <w:color w:val="auto"/>
          <w:kern w:val="2"/>
          <w:sz w:val="24"/>
          <w:szCs w:val="24"/>
          <w:highlight w:val="none"/>
          <w:lang w:val="en-US" w:eastAsia="zh-CN" w:bidi="ar-SA"/>
        </w:rPr>
        <w:t>、</w:t>
      </w:r>
      <w:r>
        <w:rPr>
          <w:rFonts w:hint="eastAsia" w:ascii="宋体" w:hAnsi="宋体" w:eastAsia="宋体" w:cs="宋体"/>
          <w:color w:val="auto"/>
          <w:kern w:val="0"/>
          <w:sz w:val="24"/>
          <w:highlight w:val="none"/>
          <w:lang w:eastAsia="zh-CN"/>
        </w:rPr>
        <w:t>）</w:t>
      </w:r>
      <w:r>
        <w:rPr>
          <w:rFonts w:hint="eastAsia" w:ascii="宋体" w:hAnsi="宋体" w:cs="宋体"/>
          <w:color w:val="auto"/>
          <w:kern w:val="0"/>
          <w:sz w:val="24"/>
          <w:highlight w:val="none"/>
        </w:rPr>
        <w:t>。</w:t>
      </w:r>
    </w:p>
    <w:p w14:paraId="5E05F6B8">
      <w:pPr>
        <w:spacing w:line="360" w:lineRule="auto"/>
        <w:rPr>
          <w:rFonts w:ascii="宋体" w:hAnsi="宋体" w:cs="宋体"/>
          <w:color w:val="auto"/>
          <w:sz w:val="24"/>
          <w:highlight w:val="none"/>
        </w:rPr>
      </w:pPr>
      <w:r>
        <w:rPr>
          <w:rFonts w:hint="eastAsia" w:ascii="宋体" w:hAnsi="宋体" w:cs="宋体"/>
          <w:color w:val="auto"/>
          <w:kern w:val="0"/>
          <w:sz w:val="24"/>
          <w:highlight w:val="none"/>
        </w:rPr>
        <w:t>人防地下室的车位按相关文件执行物业公司不得私自</w:t>
      </w:r>
      <w:r>
        <w:rPr>
          <w:rFonts w:hint="eastAsia" w:ascii="宋体" w:hAnsi="宋体" w:cs="宋体"/>
          <w:color w:val="auto"/>
          <w:kern w:val="0"/>
          <w:sz w:val="24"/>
          <w:highlight w:val="none"/>
          <w:lang w:val="en-US" w:eastAsia="zh-CN"/>
        </w:rPr>
        <w:t>出</w:t>
      </w:r>
      <w:r>
        <w:rPr>
          <w:rFonts w:hint="eastAsia" w:ascii="宋体" w:hAnsi="宋体" w:cs="宋体"/>
          <w:color w:val="auto"/>
          <w:kern w:val="0"/>
          <w:sz w:val="24"/>
          <w:highlight w:val="none"/>
        </w:rPr>
        <w:t>售。</w:t>
      </w:r>
    </w:p>
    <w:p w14:paraId="316DA955">
      <w:pPr>
        <w:spacing w:line="360" w:lineRule="auto"/>
        <w:rPr>
          <w:rFonts w:ascii="宋体" w:hAnsi="宋体" w:cs="宋体"/>
          <w:color w:val="auto"/>
          <w:kern w:val="0"/>
          <w:sz w:val="24"/>
          <w:highlight w:val="none"/>
          <w:u w:val="single"/>
        </w:rPr>
      </w:pPr>
      <w:r>
        <w:rPr>
          <w:rFonts w:hint="eastAsia" w:ascii="宋体" w:hAnsi="宋体" w:cs="宋体"/>
          <w:color w:val="auto"/>
          <w:kern w:val="0"/>
          <w:sz w:val="24"/>
          <w:highlight w:val="none"/>
          <w:u w:val="single"/>
        </w:rPr>
        <w:t>3、实行物业管理的小区居民小区卫生保洁及生活垃圾清运费已计入物业公共服务费成本，物业服务企业不得再向业主或物业使用人另行收取。</w:t>
      </w:r>
    </w:p>
    <w:p w14:paraId="1490D1FC">
      <w:pPr>
        <w:spacing w:line="360" w:lineRule="auto"/>
        <w:rPr>
          <w:rFonts w:hint="eastAsia" w:ascii="宋体" w:hAnsi="宋体" w:eastAsia="宋体" w:cs="宋体"/>
          <w:color w:val="auto"/>
          <w:kern w:val="0"/>
          <w:sz w:val="24"/>
          <w:highlight w:val="none"/>
          <w:u w:val="single"/>
          <w:lang w:eastAsia="zh-CN"/>
        </w:rPr>
      </w:pPr>
      <w:r>
        <w:rPr>
          <w:rFonts w:hint="eastAsia" w:ascii="宋体" w:hAnsi="宋体" w:cs="宋体"/>
          <w:color w:val="auto"/>
          <w:kern w:val="0"/>
          <w:sz w:val="24"/>
          <w:highlight w:val="none"/>
          <w:u w:val="single"/>
        </w:rPr>
        <w:t>4、每年三月份由招标人牵头会同物业公司对全体入住业主进行一次物业满意度调查</w:t>
      </w:r>
      <w:r>
        <w:rPr>
          <w:rFonts w:hint="eastAsia" w:ascii="宋体" w:hAnsi="宋体" w:cs="宋体"/>
          <w:color w:val="auto"/>
          <w:kern w:val="0"/>
          <w:sz w:val="24"/>
          <w:highlight w:val="none"/>
          <w:u w:val="single"/>
          <w:lang w:eastAsia="zh-CN"/>
        </w:rPr>
        <w:t>。</w:t>
      </w:r>
    </w:p>
    <w:p w14:paraId="643D8F20">
      <w:pPr>
        <w:spacing w:line="440" w:lineRule="exact"/>
        <w:ind w:firstLine="643" w:firstLineChars="200"/>
        <w:jc w:val="center"/>
        <w:rPr>
          <w:rFonts w:hint="eastAsia" w:ascii="宋体" w:hAnsi="宋体" w:cs="宋体"/>
          <w:b/>
          <w:color w:val="auto"/>
          <w:sz w:val="32"/>
          <w:szCs w:val="32"/>
          <w:highlight w:val="none"/>
        </w:rPr>
      </w:pPr>
    </w:p>
    <w:p w14:paraId="419BEDC6">
      <w:pPr>
        <w:pStyle w:val="9"/>
        <w:rPr>
          <w:rFonts w:hint="eastAsia" w:ascii="宋体" w:hAnsi="宋体" w:cs="宋体"/>
          <w:b/>
          <w:color w:val="auto"/>
          <w:sz w:val="32"/>
          <w:szCs w:val="32"/>
          <w:highlight w:val="none"/>
        </w:rPr>
      </w:pPr>
    </w:p>
    <w:p w14:paraId="458E0774">
      <w:pPr>
        <w:pStyle w:val="10"/>
        <w:rPr>
          <w:rFonts w:hint="eastAsia" w:ascii="宋体" w:hAnsi="宋体" w:cs="宋体"/>
          <w:b/>
          <w:color w:val="auto"/>
          <w:sz w:val="32"/>
          <w:szCs w:val="32"/>
          <w:highlight w:val="none"/>
        </w:rPr>
      </w:pPr>
    </w:p>
    <w:p w14:paraId="7A3EF339">
      <w:pPr>
        <w:pStyle w:val="10"/>
        <w:rPr>
          <w:rFonts w:hint="eastAsia" w:ascii="宋体" w:hAnsi="宋体" w:cs="宋体"/>
          <w:b/>
          <w:color w:val="auto"/>
          <w:sz w:val="32"/>
          <w:szCs w:val="32"/>
          <w:highlight w:val="none"/>
        </w:rPr>
      </w:pPr>
    </w:p>
    <w:p w14:paraId="025A5B58">
      <w:pPr>
        <w:pStyle w:val="10"/>
        <w:rPr>
          <w:rFonts w:hint="eastAsia" w:ascii="宋体" w:hAnsi="宋体" w:cs="宋体"/>
          <w:b/>
          <w:color w:val="auto"/>
          <w:sz w:val="32"/>
          <w:szCs w:val="32"/>
          <w:highlight w:val="none"/>
        </w:rPr>
      </w:pPr>
    </w:p>
    <w:p w14:paraId="42E20F79">
      <w:pPr>
        <w:pStyle w:val="10"/>
        <w:rPr>
          <w:rFonts w:hint="eastAsia" w:ascii="宋体" w:hAnsi="宋体" w:cs="宋体"/>
          <w:b/>
          <w:color w:val="auto"/>
          <w:sz w:val="32"/>
          <w:szCs w:val="32"/>
          <w:highlight w:val="none"/>
        </w:rPr>
      </w:pPr>
    </w:p>
    <w:p w14:paraId="37023244">
      <w:pPr>
        <w:pStyle w:val="10"/>
        <w:rPr>
          <w:rFonts w:hint="eastAsia" w:ascii="宋体" w:hAnsi="宋体" w:cs="宋体"/>
          <w:b/>
          <w:color w:val="auto"/>
          <w:sz w:val="32"/>
          <w:szCs w:val="32"/>
          <w:highlight w:val="none"/>
        </w:rPr>
      </w:pPr>
    </w:p>
    <w:p w14:paraId="50C892D0">
      <w:pPr>
        <w:pStyle w:val="10"/>
        <w:rPr>
          <w:rFonts w:hint="eastAsia" w:ascii="宋体" w:hAnsi="宋体" w:cs="宋体"/>
          <w:b/>
          <w:color w:val="auto"/>
          <w:sz w:val="32"/>
          <w:szCs w:val="32"/>
          <w:highlight w:val="none"/>
        </w:rPr>
      </w:pPr>
    </w:p>
    <w:p w14:paraId="77614118">
      <w:pPr>
        <w:spacing w:line="440" w:lineRule="exact"/>
        <w:ind w:firstLine="643" w:firstLineChars="200"/>
        <w:jc w:val="center"/>
        <w:rPr>
          <w:rFonts w:ascii="宋体" w:hAnsi="宋体" w:cs="宋体"/>
          <w:b/>
          <w:color w:val="auto"/>
          <w:sz w:val="32"/>
          <w:szCs w:val="32"/>
          <w:highlight w:val="none"/>
        </w:rPr>
      </w:pPr>
      <w:r>
        <w:rPr>
          <w:rFonts w:hint="eastAsia" w:ascii="宋体" w:hAnsi="宋体" w:cs="宋体"/>
          <w:b/>
          <w:color w:val="auto"/>
          <w:sz w:val="32"/>
          <w:szCs w:val="32"/>
          <w:highlight w:val="none"/>
        </w:rPr>
        <w:t>二、详细的投标报价书（投标报价明细表）</w:t>
      </w:r>
    </w:p>
    <w:tbl>
      <w:tblPr>
        <w:tblStyle w:val="22"/>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346"/>
        <w:gridCol w:w="2996"/>
        <w:gridCol w:w="1499"/>
        <w:gridCol w:w="1548"/>
        <w:gridCol w:w="762"/>
      </w:tblGrid>
      <w:tr w14:paraId="4B85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exact"/>
          <w:jc w:val="center"/>
        </w:trPr>
        <w:tc>
          <w:tcPr>
            <w:tcW w:w="737" w:type="dxa"/>
          </w:tcPr>
          <w:p w14:paraId="2541911A">
            <w:pPr>
              <w:pStyle w:val="13"/>
              <w:spacing w:line="440" w:lineRule="exact"/>
              <w:rPr>
                <w:rFonts w:hAnsi="宋体" w:cs="宋体"/>
                <w:bCs/>
                <w:color w:val="auto"/>
                <w:sz w:val="24"/>
                <w:szCs w:val="24"/>
                <w:highlight w:val="none"/>
              </w:rPr>
            </w:pPr>
            <w:r>
              <w:rPr>
                <w:rFonts w:hint="eastAsia" w:hAnsi="宋体" w:cs="宋体"/>
                <w:bCs/>
                <w:color w:val="auto"/>
                <w:sz w:val="24"/>
                <w:szCs w:val="24"/>
                <w:highlight w:val="none"/>
              </w:rPr>
              <w:t>序号</w:t>
            </w:r>
          </w:p>
        </w:tc>
        <w:tc>
          <w:tcPr>
            <w:tcW w:w="2346" w:type="dxa"/>
          </w:tcPr>
          <w:p w14:paraId="2E990E79">
            <w:pPr>
              <w:pStyle w:val="13"/>
              <w:spacing w:line="440" w:lineRule="exact"/>
              <w:rPr>
                <w:rFonts w:hAnsi="宋体" w:cs="宋体"/>
                <w:bCs/>
                <w:color w:val="auto"/>
                <w:sz w:val="24"/>
                <w:szCs w:val="24"/>
                <w:highlight w:val="none"/>
              </w:rPr>
            </w:pPr>
            <w:r>
              <w:rPr>
                <w:rFonts w:hint="eastAsia" w:hAnsi="宋体" w:cs="宋体"/>
                <w:bCs/>
                <w:color w:val="auto"/>
                <w:sz w:val="24"/>
                <w:szCs w:val="24"/>
                <w:highlight w:val="none"/>
              </w:rPr>
              <w:t>项目</w:t>
            </w:r>
          </w:p>
        </w:tc>
        <w:tc>
          <w:tcPr>
            <w:tcW w:w="2996" w:type="dxa"/>
          </w:tcPr>
          <w:p w14:paraId="0EF44454">
            <w:pPr>
              <w:pStyle w:val="13"/>
              <w:spacing w:line="440" w:lineRule="exact"/>
              <w:rPr>
                <w:rFonts w:hAnsi="宋体" w:cs="宋体"/>
                <w:bCs/>
                <w:color w:val="auto"/>
                <w:sz w:val="24"/>
                <w:szCs w:val="24"/>
                <w:highlight w:val="none"/>
              </w:rPr>
            </w:pPr>
            <w:r>
              <w:rPr>
                <w:rFonts w:hint="eastAsia" w:hAnsi="宋体" w:cs="宋体"/>
                <w:bCs/>
                <w:color w:val="auto"/>
                <w:sz w:val="24"/>
                <w:szCs w:val="24"/>
                <w:highlight w:val="none"/>
              </w:rPr>
              <w:t>测算依据及公式</w:t>
            </w:r>
          </w:p>
        </w:tc>
        <w:tc>
          <w:tcPr>
            <w:tcW w:w="1499" w:type="dxa"/>
          </w:tcPr>
          <w:p w14:paraId="3FC34AD4">
            <w:pPr>
              <w:pStyle w:val="13"/>
              <w:spacing w:line="440" w:lineRule="exact"/>
              <w:rPr>
                <w:rFonts w:hAnsi="宋体" w:cs="宋体"/>
                <w:bCs/>
                <w:color w:val="auto"/>
                <w:sz w:val="24"/>
                <w:szCs w:val="24"/>
                <w:highlight w:val="none"/>
              </w:rPr>
            </w:pPr>
            <w:r>
              <w:rPr>
                <w:rFonts w:hint="eastAsia" w:hAnsi="宋体" w:cs="宋体"/>
                <w:bCs/>
                <w:color w:val="auto"/>
                <w:sz w:val="24"/>
                <w:szCs w:val="24"/>
                <w:highlight w:val="none"/>
              </w:rPr>
              <w:t>月支出（元）</w:t>
            </w:r>
          </w:p>
        </w:tc>
        <w:tc>
          <w:tcPr>
            <w:tcW w:w="1548" w:type="dxa"/>
          </w:tcPr>
          <w:p w14:paraId="3400925C">
            <w:pPr>
              <w:pStyle w:val="13"/>
              <w:spacing w:line="440" w:lineRule="exact"/>
              <w:rPr>
                <w:rFonts w:hAnsi="宋体" w:cs="宋体"/>
                <w:bCs/>
                <w:color w:val="auto"/>
                <w:sz w:val="24"/>
                <w:szCs w:val="24"/>
                <w:highlight w:val="none"/>
              </w:rPr>
            </w:pPr>
            <w:r>
              <w:rPr>
                <w:rFonts w:hint="eastAsia" w:hAnsi="宋体" w:cs="宋体"/>
                <w:bCs/>
                <w:color w:val="auto"/>
                <w:sz w:val="24"/>
                <w:szCs w:val="24"/>
                <w:highlight w:val="none"/>
              </w:rPr>
              <w:t>年支出（元）</w:t>
            </w:r>
          </w:p>
        </w:tc>
        <w:tc>
          <w:tcPr>
            <w:tcW w:w="762" w:type="dxa"/>
          </w:tcPr>
          <w:p w14:paraId="7729CB06">
            <w:pPr>
              <w:pStyle w:val="13"/>
              <w:spacing w:line="440" w:lineRule="exact"/>
              <w:rPr>
                <w:rFonts w:hAnsi="宋体" w:cs="宋体"/>
                <w:bCs/>
                <w:color w:val="auto"/>
                <w:sz w:val="24"/>
                <w:szCs w:val="24"/>
                <w:highlight w:val="none"/>
              </w:rPr>
            </w:pPr>
            <w:r>
              <w:rPr>
                <w:rFonts w:hint="eastAsia" w:hAnsi="宋体" w:cs="宋体"/>
                <w:bCs/>
                <w:color w:val="auto"/>
                <w:sz w:val="24"/>
                <w:szCs w:val="24"/>
                <w:highlight w:val="none"/>
              </w:rPr>
              <w:t>备注</w:t>
            </w:r>
          </w:p>
        </w:tc>
      </w:tr>
      <w:tr w14:paraId="4D03A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7" w:type="dxa"/>
            <w:vAlign w:val="center"/>
          </w:tcPr>
          <w:p w14:paraId="5AC4FDE2">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一</w:t>
            </w:r>
          </w:p>
        </w:tc>
        <w:tc>
          <w:tcPr>
            <w:tcW w:w="2346" w:type="dxa"/>
            <w:vAlign w:val="center"/>
          </w:tcPr>
          <w:p w14:paraId="6CE9AFE8">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工资</w:t>
            </w:r>
          </w:p>
        </w:tc>
        <w:tc>
          <w:tcPr>
            <w:tcW w:w="2996" w:type="dxa"/>
          </w:tcPr>
          <w:p w14:paraId="2D6FD4B2">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1+…+3+…</w:t>
            </w:r>
          </w:p>
        </w:tc>
        <w:tc>
          <w:tcPr>
            <w:tcW w:w="1499" w:type="dxa"/>
          </w:tcPr>
          <w:p w14:paraId="6358F5AC">
            <w:pPr>
              <w:pStyle w:val="13"/>
              <w:spacing w:line="440" w:lineRule="exact"/>
              <w:rPr>
                <w:rFonts w:hAnsi="宋体" w:cs="宋体"/>
                <w:bCs/>
                <w:color w:val="auto"/>
                <w:sz w:val="24"/>
                <w:szCs w:val="24"/>
                <w:highlight w:val="none"/>
              </w:rPr>
            </w:pPr>
          </w:p>
        </w:tc>
        <w:tc>
          <w:tcPr>
            <w:tcW w:w="1548" w:type="dxa"/>
          </w:tcPr>
          <w:p w14:paraId="41EAEBF5">
            <w:pPr>
              <w:pStyle w:val="13"/>
              <w:spacing w:line="440" w:lineRule="exact"/>
              <w:rPr>
                <w:rFonts w:hAnsi="宋体" w:cs="宋体"/>
                <w:bCs/>
                <w:color w:val="auto"/>
                <w:sz w:val="24"/>
                <w:szCs w:val="24"/>
                <w:highlight w:val="none"/>
              </w:rPr>
            </w:pPr>
          </w:p>
        </w:tc>
        <w:tc>
          <w:tcPr>
            <w:tcW w:w="762" w:type="dxa"/>
          </w:tcPr>
          <w:p w14:paraId="31582BE9">
            <w:pPr>
              <w:pStyle w:val="13"/>
              <w:spacing w:line="440" w:lineRule="exact"/>
              <w:rPr>
                <w:rFonts w:hAnsi="宋体" w:cs="宋体"/>
                <w:bCs/>
                <w:color w:val="auto"/>
                <w:sz w:val="24"/>
                <w:szCs w:val="24"/>
                <w:highlight w:val="none"/>
              </w:rPr>
            </w:pPr>
          </w:p>
        </w:tc>
      </w:tr>
      <w:tr w14:paraId="72CAA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37" w:type="dxa"/>
            <w:vMerge w:val="restart"/>
            <w:vAlign w:val="center"/>
          </w:tcPr>
          <w:p w14:paraId="43B345A7">
            <w:pPr>
              <w:pStyle w:val="13"/>
              <w:spacing w:line="440" w:lineRule="exact"/>
              <w:rPr>
                <w:rFonts w:hAnsi="宋体" w:cs="宋体"/>
                <w:bCs/>
                <w:color w:val="auto"/>
                <w:sz w:val="24"/>
                <w:szCs w:val="24"/>
                <w:highlight w:val="none"/>
              </w:rPr>
            </w:pPr>
            <w:r>
              <w:rPr>
                <w:rFonts w:hint="eastAsia" w:hAnsi="宋体" w:cs="宋体"/>
                <w:bCs/>
                <w:color w:val="auto"/>
                <w:sz w:val="24"/>
                <w:szCs w:val="24"/>
                <w:highlight w:val="none"/>
              </w:rPr>
              <w:t>其中</w:t>
            </w:r>
          </w:p>
        </w:tc>
        <w:tc>
          <w:tcPr>
            <w:tcW w:w="2346" w:type="dxa"/>
            <w:vAlign w:val="center"/>
          </w:tcPr>
          <w:p w14:paraId="5DBF72C0">
            <w:pPr>
              <w:pStyle w:val="13"/>
              <w:spacing w:line="440" w:lineRule="exact"/>
              <w:rPr>
                <w:rFonts w:hAnsi="宋体" w:cs="宋体"/>
                <w:bCs/>
                <w:color w:val="auto"/>
                <w:sz w:val="24"/>
                <w:szCs w:val="24"/>
                <w:highlight w:val="none"/>
              </w:rPr>
            </w:pPr>
            <w:r>
              <w:rPr>
                <w:rFonts w:hint="eastAsia" w:hAnsi="宋体" w:cs="宋体"/>
                <w:bCs/>
                <w:color w:val="auto"/>
                <w:sz w:val="24"/>
                <w:szCs w:val="24"/>
                <w:highlight w:val="none"/>
              </w:rPr>
              <w:t>项目负责人</w:t>
            </w:r>
          </w:p>
        </w:tc>
        <w:tc>
          <w:tcPr>
            <w:tcW w:w="2996" w:type="dxa"/>
          </w:tcPr>
          <w:p w14:paraId="7F9402D9">
            <w:pPr>
              <w:pStyle w:val="13"/>
              <w:spacing w:line="440" w:lineRule="exact"/>
              <w:jc w:val="left"/>
              <w:rPr>
                <w:rFonts w:hAnsi="宋体" w:cs="宋体"/>
                <w:bCs/>
                <w:color w:val="auto"/>
                <w:sz w:val="24"/>
                <w:szCs w:val="24"/>
                <w:highlight w:val="none"/>
                <w:u w:val="single"/>
              </w:rPr>
            </w:pPr>
            <w:r>
              <w:rPr>
                <w:rFonts w:hint="eastAsia" w:hAnsi="宋体" w:cs="宋体"/>
                <w:bCs/>
                <w:color w:val="auto"/>
                <w:sz w:val="24"/>
                <w:szCs w:val="24"/>
                <w:highlight w:val="none"/>
              </w:rPr>
              <w:t>元/月×人</w:t>
            </w:r>
          </w:p>
        </w:tc>
        <w:tc>
          <w:tcPr>
            <w:tcW w:w="1499" w:type="dxa"/>
          </w:tcPr>
          <w:p w14:paraId="652843E3">
            <w:pPr>
              <w:pStyle w:val="13"/>
              <w:spacing w:line="440" w:lineRule="exact"/>
              <w:rPr>
                <w:rFonts w:hAnsi="宋体" w:cs="宋体"/>
                <w:bCs/>
                <w:color w:val="auto"/>
                <w:sz w:val="24"/>
                <w:szCs w:val="24"/>
                <w:highlight w:val="none"/>
              </w:rPr>
            </w:pPr>
          </w:p>
        </w:tc>
        <w:tc>
          <w:tcPr>
            <w:tcW w:w="1548" w:type="dxa"/>
          </w:tcPr>
          <w:p w14:paraId="5D284333">
            <w:pPr>
              <w:pStyle w:val="13"/>
              <w:spacing w:line="440" w:lineRule="exact"/>
              <w:rPr>
                <w:rFonts w:hAnsi="宋体" w:cs="宋体"/>
                <w:bCs/>
                <w:color w:val="auto"/>
                <w:sz w:val="24"/>
                <w:szCs w:val="24"/>
                <w:highlight w:val="none"/>
              </w:rPr>
            </w:pPr>
          </w:p>
        </w:tc>
        <w:tc>
          <w:tcPr>
            <w:tcW w:w="762" w:type="dxa"/>
          </w:tcPr>
          <w:p w14:paraId="269D038A">
            <w:pPr>
              <w:pStyle w:val="13"/>
              <w:spacing w:line="440" w:lineRule="exact"/>
              <w:rPr>
                <w:rFonts w:hAnsi="宋体" w:cs="宋体"/>
                <w:bCs/>
                <w:color w:val="auto"/>
                <w:sz w:val="24"/>
                <w:szCs w:val="24"/>
                <w:highlight w:val="none"/>
              </w:rPr>
            </w:pPr>
          </w:p>
        </w:tc>
      </w:tr>
      <w:tr w14:paraId="06C98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37" w:type="dxa"/>
            <w:vMerge w:val="continue"/>
            <w:vAlign w:val="center"/>
          </w:tcPr>
          <w:p w14:paraId="4DAF0D10">
            <w:pPr>
              <w:pStyle w:val="13"/>
              <w:spacing w:line="440" w:lineRule="exact"/>
              <w:rPr>
                <w:rFonts w:hAnsi="宋体" w:cs="宋体"/>
                <w:bCs/>
                <w:color w:val="auto"/>
                <w:sz w:val="24"/>
                <w:szCs w:val="24"/>
                <w:highlight w:val="none"/>
              </w:rPr>
            </w:pPr>
          </w:p>
        </w:tc>
        <w:tc>
          <w:tcPr>
            <w:tcW w:w="2346" w:type="dxa"/>
            <w:vAlign w:val="center"/>
          </w:tcPr>
          <w:p w14:paraId="5CAAD899">
            <w:pPr>
              <w:pStyle w:val="13"/>
              <w:spacing w:line="440" w:lineRule="exact"/>
              <w:rPr>
                <w:rFonts w:hAnsi="宋体" w:cs="宋体"/>
                <w:bCs/>
                <w:color w:val="auto"/>
                <w:sz w:val="24"/>
                <w:szCs w:val="24"/>
                <w:highlight w:val="none"/>
              </w:rPr>
            </w:pPr>
            <w:r>
              <w:rPr>
                <w:rFonts w:hint="eastAsia" w:hAnsi="宋体" w:cs="宋体"/>
                <w:bCs/>
                <w:color w:val="auto"/>
                <w:sz w:val="24"/>
                <w:szCs w:val="24"/>
                <w:highlight w:val="none"/>
              </w:rPr>
              <w:t>安保员</w:t>
            </w:r>
          </w:p>
        </w:tc>
        <w:tc>
          <w:tcPr>
            <w:tcW w:w="2996" w:type="dxa"/>
          </w:tcPr>
          <w:p w14:paraId="170B0675">
            <w:pPr>
              <w:pStyle w:val="13"/>
              <w:spacing w:line="440" w:lineRule="exact"/>
              <w:jc w:val="left"/>
              <w:rPr>
                <w:rFonts w:hAnsi="宋体" w:cs="宋体"/>
                <w:bCs/>
                <w:color w:val="auto"/>
                <w:sz w:val="24"/>
                <w:szCs w:val="24"/>
                <w:highlight w:val="none"/>
              </w:rPr>
            </w:pPr>
            <w:r>
              <w:rPr>
                <w:rFonts w:hint="eastAsia" w:hAnsi="宋体" w:cs="宋体"/>
                <w:bCs/>
                <w:color w:val="auto"/>
                <w:sz w:val="24"/>
                <w:szCs w:val="24"/>
                <w:highlight w:val="none"/>
              </w:rPr>
              <w:t>元/月×人</w:t>
            </w:r>
          </w:p>
        </w:tc>
        <w:tc>
          <w:tcPr>
            <w:tcW w:w="1499" w:type="dxa"/>
          </w:tcPr>
          <w:p w14:paraId="10EDA5B7">
            <w:pPr>
              <w:pStyle w:val="13"/>
              <w:spacing w:line="440" w:lineRule="exact"/>
              <w:rPr>
                <w:rFonts w:hAnsi="宋体" w:cs="宋体"/>
                <w:bCs/>
                <w:color w:val="auto"/>
                <w:sz w:val="24"/>
                <w:szCs w:val="24"/>
                <w:highlight w:val="none"/>
              </w:rPr>
            </w:pPr>
          </w:p>
        </w:tc>
        <w:tc>
          <w:tcPr>
            <w:tcW w:w="1548" w:type="dxa"/>
          </w:tcPr>
          <w:p w14:paraId="3CAB63D3">
            <w:pPr>
              <w:pStyle w:val="13"/>
              <w:spacing w:line="440" w:lineRule="exact"/>
              <w:rPr>
                <w:rFonts w:hAnsi="宋体" w:cs="宋体"/>
                <w:bCs/>
                <w:color w:val="auto"/>
                <w:sz w:val="24"/>
                <w:szCs w:val="24"/>
                <w:highlight w:val="none"/>
              </w:rPr>
            </w:pPr>
          </w:p>
        </w:tc>
        <w:tc>
          <w:tcPr>
            <w:tcW w:w="762" w:type="dxa"/>
          </w:tcPr>
          <w:p w14:paraId="4D861430">
            <w:pPr>
              <w:pStyle w:val="13"/>
              <w:spacing w:line="440" w:lineRule="exact"/>
              <w:rPr>
                <w:rFonts w:hAnsi="宋体" w:cs="宋体"/>
                <w:bCs/>
                <w:color w:val="auto"/>
                <w:sz w:val="24"/>
                <w:szCs w:val="24"/>
                <w:highlight w:val="none"/>
              </w:rPr>
            </w:pPr>
          </w:p>
        </w:tc>
      </w:tr>
      <w:tr w14:paraId="2AE80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37" w:type="dxa"/>
            <w:vMerge w:val="continue"/>
            <w:vAlign w:val="center"/>
          </w:tcPr>
          <w:p w14:paraId="0146EAEB">
            <w:pPr>
              <w:pStyle w:val="13"/>
              <w:spacing w:line="440" w:lineRule="exact"/>
              <w:rPr>
                <w:rFonts w:hAnsi="宋体" w:cs="宋体"/>
                <w:bCs/>
                <w:color w:val="auto"/>
                <w:sz w:val="24"/>
                <w:szCs w:val="24"/>
                <w:highlight w:val="none"/>
              </w:rPr>
            </w:pPr>
          </w:p>
        </w:tc>
        <w:tc>
          <w:tcPr>
            <w:tcW w:w="2346" w:type="dxa"/>
            <w:vAlign w:val="center"/>
          </w:tcPr>
          <w:p w14:paraId="7BFAF319">
            <w:pPr>
              <w:pStyle w:val="13"/>
              <w:spacing w:line="440" w:lineRule="exact"/>
              <w:rPr>
                <w:rFonts w:hAnsi="宋体" w:cs="宋体"/>
                <w:bCs/>
                <w:color w:val="auto"/>
                <w:sz w:val="24"/>
                <w:szCs w:val="24"/>
                <w:highlight w:val="none"/>
              </w:rPr>
            </w:pPr>
            <w:r>
              <w:rPr>
                <w:rFonts w:hint="eastAsia" w:hAnsi="宋体" w:cs="宋体"/>
                <w:bCs/>
                <w:color w:val="auto"/>
                <w:sz w:val="24"/>
                <w:szCs w:val="24"/>
                <w:highlight w:val="none"/>
              </w:rPr>
              <w:t>保洁员</w:t>
            </w:r>
          </w:p>
        </w:tc>
        <w:tc>
          <w:tcPr>
            <w:tcW w:w="2996" w:type="dxa"/>
          </w:tcPr>
          <w:p w14:paraId="38692B96">
            <w:pPr>
              <w:pStyle w:val="13"/>
              <w:spacing w:line="440" w:lineRule="exact"/>
              <w:jc w:val="left"/>
              <w:rPr>
                <w:rFonts w:hAnsi="宋体" w:cs="宋体"/>
                <w:bCs/>
                <w:color w:val="auto"/>
                <w:sz w:val="24"/>
                <w:szCs w:val="24"/>
                <w:highlight w:val="none"/>
              </w:rPr>
            </w:pPr>
            <w:r>
              <w:rPr>
                <w:rFonts w:hint="eastAsia" w:hAnsi="宋体" w:cs="宋体"/>
                <w:bCs/>
                <w:color w:val="auto"/>
                <w:sz w:val="24"/>
                <w:szCs w:val="24"/>
                <w:highlight w:val="none"/>
              </w:rPr>
              <w:t>元/月×人</w:t>
            </w:r>
          </w:p>
        </w:tc>
        <w:tc>
          <w:tcPr>
            <w:tcW w:w="1499" w:type="dxa"/>
          </w:tcPr>
          <w:p w14:paraId="0AC10C51">
            <w:pPr>
              <w:pStyle w:val="13"/>
              <w:spacing w:line="440" w:lineRule="exact"/>
              <w:rPr>
                <w:rFonts w:hAnsi="宋体" w:cs="宋体"/>
                <w:bCs/>
                <w:color w:val="auto"/>
                <w:sz w:val="24"/>
                <w:szCs w:val="24"/>
                <w:highlight w:val="none"/>
              </w:rPr>
            </w:pPr>
          </w:p>
        </w:tc>
        <w:tc>
          <w:tcPr>
            <w:tcW w:w="1548" w:type="dxa"/>
          </w:tcPr>
          <w:p w14:paraId="21A2EB70">
            <w:pPr>
              <w:pStyle w:val="13"/>
              <w:spacing w:line="440" w:lineRule="exact"/>
              <w:rPr>
                <w:rFonts w:hAnsi="宋体" w:cs="宋体"/>
                <w:bCs/>
                <w:color w:val="auto"/>
                <w:sz w:val="24"/>
                <w:szCs w:val="24"/>
                <w:highlight w:val="none"/>
              </w:rPr>
            </w:pPr>
          </w:p>
        </w:tc>
        <w:tc>
          <w:tcPr>
            <w:tcW w:w="762" w:type="dxa"/>
          </w:tcPr>
          <w:p w14:paraId="6DEDC584">
            <w:pPr>
              <w:pStyle w:val="13"/>
              <w:spacing w:line="440" w:lineRule="exact"/>
              <w:rPr>
                <w:rFonts w:hAnsi="宋体" w:cs="宋体"/>
                <w:bCs/>
                <w:color w:val="auto"/>
                <w:sz w:val="24"/>
                <w:szCs w:val="24"/>
                <w:highlight w:val="none"/>
              </w:rPr>
            </w:pPr>
          </w:p>
        </w:tc>
      </w:tr>
      <w:tr w14:paraId="5C9D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37" w:type="dxa"/>
            <w:vMerge w:val="continue"/>
            <w:vAlign w:val="center"/>
          </w:tcPr>
          <w:p w14:paraId="6FE757E1">
            <w:pPr>
              <w:pStyle w:val="13"/>
              <w:spacing w:line="440" w:lineRule="exact"/>
              <w:rPr>
                <w:rFonts w:hAnsi="宋体" w:cs="宋体"/>
                <w:bCs/>
                <w:color w:val="auto"/>
                <w:sz w:val="24"/>
                <w:szCs w:val="24"/>
                <w:highlight w:val="none"/>
              </w:rPr>
            </w:pPr>
          </w:p>
        </w:tc>
        <w:tc>
          <w:tcPr>
            <w:tcW w:w="2346" w:type="dxa"/>
            <w:vAlign w:val="center"/>
          </w:tcPr>
          <w:p w14:paraId="08CED699">
            <w:pPr>
              <w:pStyle w:val="13"/>
              <w:spacing w:line="440" w:lineRule="exact"/>
              <w:rPr>
                <w:rFonts w:hint="eastAsia" w:hAnsi="宋体" w:eastAsia="宋体" w:cs="宋体"/>
                <w:bCs/>
                <w:color w:val="auto"/>
                <w:sz w:val="24"/>
                <w:szCs w:val="24"/>
                <w:highlight w:val="none"/>
                <w:lang w:val="en-US" w:eastAsia="zh-CN"/>
              </w:rPr>
            </w:pPr>
            <w:r>
              <w:rPr>
                <w:rFonts w:hint="eastAsia" w:hAnsi="宋体" w:cs="宋体"/>
                <w:bCs/>
                <w:color w:val="auto"/>
                <w:sz w:val="24"/>
                <w:szCs w:val="24"/>
                <w:highlight w:val="none"/>
              </w:rPr>
              <w:t>绿化</w:t>
            </w:r>
            <w:r>
              <w:rPr>
                <w:rFonts w:hint="eastAsia" w:hAnsi="宋体" w:cs="宋体"/>
                <w:bCs/>
                <w:color w:val="auto"/>
                <w:sz w:val="24"/>
                <w:szCs w:val="24"/>
                <w:highlight w:val="none"/>
                <w:lang w:val="en-US" w:eastAsia="zh-CN"/>
              </w:rPr>
              <w:t>工</w:t>
            </w:r>
          </w:p>
        </w:tc>
        <w:tc>
          <w:tcPr>
            <w:tcW w:w="2996" w:type="dxa"/>
          </w:tcPr>
          <w:p w14:paraId="022B682D">
            <w:pPr>
              <w:pStyle w:val="13"/>
              <w:spacing w:line="440" w:lineRule="exact"/>
              <w:jc w:val="left"/>
              <w:rPr>
                <w:rFonts w:hAnsi="宋体" w:cs="宋体"/>
                <w:bCs/>
                <w:color w:val="auto"/>
                <w:sz w:val="24"/>
                <w:szCs w:val="24"/>
                <w:highlight w:val="none"/>
              </w:rPr>
            </w:pPr>
            <w:r>
              <w:rPr>
                <w:rFonts w:hint="eastAsia" w:hAnsi="宋体" w:cs="宋体"/>
                <w:bCs/>
                <w:color w:val="auto"/>
                <w:sz w:val="24"/>
                <w:szCs w:val="24"/>
                <w:highlight w:val="none"/>
              </w:rPr>
              <w:t>元/月×人</w:t>
            </w:r>
          </w:p>
        </w:tc>
        <w:tc>
          <w:tcPr>
            <w:tcW w:w="1499" w:type="dxa"/>
          </w:tcPr>
          <w:p w14:paraId="3FD9E917">
            <w:pPr>
              <w:pStyle w:val="13"/>
              <w:spacing w:line="440" w:lineRule="exact"/>
              <w:rPr>
                <w:rFonts w:hAnsi="宋体" w:cs="宋体"/>
                <w:bCs/>
                <w:color w:val="auto"/>
                <w:sz w:val="24"/>
                <w:szCs w:val="24"/>
                <w:highlight w:val="none"/>
              </w:rPr>
            </w:pPr>
          </w:p>
        </w:tc>
        <w:tc>
          <w:tcPr>
            <w:tcW w:w="1548" w:type="dxa"/>
          </w:tcPr>
          <w:p w14:paraId="39F549F4">
            <w:pPr>
              <w:pStyle w:val="13"/>
              <w:spacing w:line="440" w:lineRule="exact"/>
              <w:rPr>
                <w:rFonts w:hAnsi="宋体" w:cs="宋体"/>
                <w:bCs/>
                <w:color w:val="auto"/>
                <w:sz w:val="24"/>
                <w:szCs w:val="24"/>
                <w:highlight w:val="none"/>
              </w:rPr>
            </w:pPr>
          </w:p>
        </w:tc>
        <w:tc>
          <w:tcPr>
            <w:tcW w:w="762" w:type="dxa"/>
          </w:tcPr>
          <w:p w14:paraId="7938868A">
            <w:pPr>
              <w:pStyle w:val="13"/>
              <w:spacing w:line="440" w:lineRule="exact"/>
              <w:rPr>
                <w:rFonts w:hAnsi="宋体" w:cs="宋体"/>
                <w:bCs/>
                <w:color w:val="auto"/>
                <w:sz w:val="24"/>
                <w:szCs w:val="24"/>
                <w:highlight w:val="none"/>
              </w:rPr>
            </w:pPr>
          </w:p>
        </w:tc>
      </w:tr>
      <w:tr w14:paraId="21FF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37" w:type="dxa"/>
            <w:vMerge w:val="continue"/>
            <w:vAlign w:val="center"/>
          </w:tcPr>
          <w:p w14:paraId="4CDBFC64">
            <w:pPr>
              <w:pStyle w:val="13"/>
              <w:spacing w:line="440" w:lineRule="exact"/>
              <w:rPr>
                <w:rFonts w:hAnsi="宋体" w:cs="宋体"/>
                <w:bCs/>
                <w:color w:val="auto"/>
                <w:sz w:val="24"/>
                <w:szCs w:val="24"/>
                <w:highlight w:val="none"/>
              </w:rPr>
            </w:pPr>
          </w:p>
        </w:tc>
        <w:tc>
          <w:tcPr>
            <w:tcW w:w="2346" w:type="dxa"/>
            <w:vAlign w:val="center"/>
          </w:tcPr>
          <w:p w14:paraId="4502CEB1">
            <w:pPr>
              <w:pStyle w:val="13"/>
              <w:spacing w:line="440" w:lineRule="exact"/>
              <w:rPr>
                <w:rFonts w:hAnsi="宋体" w:cs="宋体"/>
                <w:bCs/>
                <w:color w:val="auto"/>
                <w:sz w:val="24"/>
                <w:szCs w:val="24"/>
                <w:highlight w:val="none"/>
              </w:rPr>
            </w:pPr>
            <w:r>
              <w:rPr>
                <w:rFonts w:hint="eastAsia" w:hAnsi="宋体" w:cs="宋体"/>
                <w:bCs/>
                <w:color w:val="auto"/>
                <w:sz w:val="24"/>
                <w:szCs w:val="24"/>
                <w:highlight w:val="none"/>
              </w:rPr>
              <w:t>客服</w:t>
            </w:r>
          </w:p>
        </w:tc>
        <w:tc>
          <w:tcPr>
            <w:tcW w:w="2996" w:type="dxa"/>
          </w:tcPr>
          <w:p w14:paraId="20F847EF">
            <w:pPr>
              <w:pStyle w:val="13"/>
              <w:spacing w:line="440" w:lineRule="exact"/>
              <w:jc w:val="left"/>
              <w:rPr>
                <w:rFonts w:hAnsi="宋体" w:cs="宋体"/>
                <w:bCs/>
                <w:color w:val="auto"/>
                <w:sz w:val="24"/>
                <w:szCs w:val="24"/>
                <w:highlight w:val="none"/>
              </w:rPr>
            </w:pPr>
            <w:r>
              <w:rPr>
                <w:rFonts w:hint="eastAsia" w:hAnsi="宋体" w:cs="宋体"/>
                <w:bCs/>
                <w:color w:val="auto"/>
                <w:sz w:val="24"/>
                <w:szCs w:val="24"/>
                <w:highlight w:val="none"/>
              </w:rPr>
              <w:t>元/月×人</w:t>
            </w:r>
          </w:p>
        </w:tc>
        <w:tc>
          <w:tcPr>
            <w:tcW w:w="1499" w:type="dxa"/>
          </w:tcPr>
          <w:p w14:paraId="11B70DA2">
            <w:pPr>
              <w:pStyle w:val="13"/>
              <w:spacing w:line="440" w:lineRule="exact"/>
              <w:rPr>
                <w:rFonts w:hAnsi="宋体" w:cs="宋体"/>
                <w:bCs/>
                <w:color w:val="auto"/>
                <w:sz w:val="24"/>
                <w:szCs w:val="24"/>
                <w:highlight w:val="none"/>
              </w:rPr>
            </w:pPr>
          </w:p>
        </w:tc>
        <w:tc>
          <w:tcPr>
            <w:tcW w:w="1548" w:type="dxa"/>
          </w:tcPr>
          <w:p w14:paraId="1FB2879D">
            <w:pPr>
              <w:pStyle w:val="13"/>
              <w:spacing w:line="440" w:lineRule="exact"/>
              <w:rPr>
                <w:rFonts w:hAnsi="宋体" w:cs="宋体"/>
                <w:bCs/>
                <w:color w:val="auto"/>
                <w:sz w:val="24"/>
                <w:szCs w:val="24"/>
                <w:highlight w:val="none"/>
              </w:rPr>
            </w:pPr>
          </w:p>
        </w:tc>
        <w:tc>
          <w:tcPr>
            <w:tcW w:w="762" w:type="dxa"/>
          </w:tcPr>
          <w:p w14:paraId="52AD0BDE">
            <w:pPr>
              <w:pStyle w:val="13"/>
              <w:spacing w:line="440" w:lineRule="exact"/>
              <w:rPr>
                <w:rFonts w:hAnsi="宋体" w:cs="宋体"/>
                <w:bCs/>
                <w:color w:val="auto"/>
                <w:sz w:val="24"/>
                <w:szCs w:val="24"/>
                <w:highlight w:val="none"/>
              </w:rPr>
            </w:pPr>
          </w:p>
        </w:tc>
      </w:tr>
      <w:tr w14:paraId="31050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37" w:type="dxa"/>
            <w:vMerge w:val="continue"/>
            <w:vAlign w:val="center"/>
          </w:tcPr>
          <w:p w14:paraId="563773E2">
            <w:pPr>
              <w:pStyle w:val="13"/>
              <w:spacing w:line="440" w:lineRule="exact"/>
              <w:rPr>
                <w:rFonts w:hAnsi="宋体" w:cs="宋体"/>
                <w:bCs/>
                <w:color w:val="auto"/>
                <w:sz w:val="24"/>
                <w:szCs w:val="24"/>
                <w:highlight w:val="none"/>
              </w:rPr>
            </w:pPr>
          </w:p>
        </w:tc>
        <w:tc>
          <w:tcPr>
            <w:tcW w:w="2346" w:type="dxa"/>
            <w:vAlign w:val="center"/>
          </w:tcPr>
          <w:p w14:paraId="178F52C6">
            <w:pPr>
              <w:pStyle w:val="13"/>
              <w:spacing w:line="440" w:lineRule="exact"/>
              <w:rPr>
                <w:rFonts w:hint="eastAsia" w:hAnsi="宋体" w:eastAsia="宋体" w:cs="宋体"/>
                <w:bCs/>
                <w:color w:val="auto"/>
                <w:sz w:val="24"/>
                <w:szCs w:val="24"/>
                <w:highlight w:val="none"/>
                <w:lang w:val="en-US" w:eastAsia="zh-CN"/>
              </w:rPr>
            </w:pPr>
            <w:r>
              <w:rPr>
                <w:rFonts w:hint="eastAsia" w:hAnsi="宋体" w:cs="宋体"/>
                <w:bCs/>
                <w:color w:val="auto"/>
                <w:sz w:val="24"/>
                <w:szCs w:val="24"/>
                <w:highlight w:val="none"/>
              </w:rPr>
              <w:t>水电</w:t>
            </w:r>
            <w:r>
              <w:rPr>
                <w:rFonts w:hint="eastAsia" w:hAnsi="宋体" w:cs="宋体"/>
                <w:bCs/>
                <w:color w:val="auto"/>
                <w:sz w:val="24"/>
                <w:szCs w:val="24"/>
                <w:highlight w:val="none"/>
                <w:lang w:val="en-US" w:eastAsia="zh-CN"/>
              </w:rPr>
              <w:t>工</w:t>
            </w:r>
          </w:p>
        </w:tc>
        <w:tc>
          <w:tcPr>
            <w:tcW w:w="2996" w:type="dxa"/>
          </w:tcPr>
          <w:p w14:paraId="26494EFC">
            <w:pPr>
              <w:pStyle w:val="13"/>
              <w:spacing w:line="440" w:lineRule="exact"/>
              <w:jc w:val="left"/>
              <w:rPr>
                <w:rFonts w:hAnsi="宋体" w:cs="宋体"/>
                <w:bCs/>
                <w:color w:val="auto"/>
                <w:sz w:val="24"/>
                <w:szCs w:val="24"/>
                <w:highlight w:val="none"/>
              </w:rPr>
            </w:pPr>
            <w:r>
              <w:rPr>
                <w:rFonts w:hint="eastAsia" w:hAnsi="宋体" w:cs="宋体"/>
                <w:bCs/>
                <w:color w:val="auto"/>
                <w:sz w:val="24"/>
                <w:szCs w:val="24"/>
                <w:highlight w:val="none"/>
              </w:rPr>
              <w:t>元/月×人</w:t>
            </w:r>
          </w:p>
        </w:tc>
        <w:tc>
          <w:tcPr>
            <w:tcW w:w="1499" w:type="dxa"/>
          </w:tcPr>
          <w:p w14:paraId="4FB8FDB3">
            <w:pPr>
              <w:pStyle w:val="13"/>
              <w:spacing w:line="440" w:lineRule="exact"/>
              <w:rPr>
                <w:rFonts w:hAnsi="宋体" w:cs="宋体"/>
                <w:bCs/>
                <w:color w:val="auto"/>
                <w:sz w:val="24"/>
                <w:szCs w:val="24"/>
                <w:highlight w:val="none"/>
              </w:rPr>
            </w:pPr>
          </w:p>
        </w:tc>
        <w:tc>
          <w:tcPr>
            <w:tcW w:w="1548" w:type="dxa"/>
          </w:tcPr>
          <w:p w14:paraId="485D47E5">
            <w:pPr>
              <w:pStyle w:val="13"/>
              <w:spacing w:line="440" w:lineRule="exact"/>
              <w:rPr>
                <w:rFonts w:hAnsi="宋体" w:cs="宋体"/>
                <w:bCs/>
                <w:color w:val="auto"/>
                <w:sz w:val="24"/>
                <w:szCs w:val="24"/>
                <w:highlight w:val="none"/>
              </w:rPr>
            </w:pPr>
          </w:p>
        </w:tc>
        <w:tc>
          <w:tcPr>
            <w:tcW w:w="762" w:type="dxa"/>
          </w:tcPr>
          <w:p w14:paraId="1760C07F">
            <w:pPr>
              <w:pStyle w:val="13"/>
              <w:spacing w:line="440" w:lineRule="exact"/>
              <w:rPr>
                <w:rFonts w:hAnsi="宋体" w:cs="宋体"/>
                <w:bCs/>
                <w:color w:val="auto"/>
                <w:sz w:val="24"/>
                <w:szCs w:val="24"/>
                <w:highlight w:val="none"/>
              </w:rPr>
            </w:pPr>
          </w:p>
        </w:tc>
      </w:tr>
      <w:tr w14:paraId="03619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737" w:type="dxa"/>
            <w:vMerge w:val="continue"/>
            <w:vAlign w:val="center"/>
          </w:tcPr>
          <w:p w14:paraId="611D36D6">
            <w:pPr>
              <w:pStyle w:val="13"/>
              <w:spacing w:line="440" w:lineRule="exact"/>
              <w:rPr>
                <w:rFonts w:hAnsi="宋体" w:cs="宋体"/>
                <w:bCs/>
                <w:color w:val="auto"/>
                <w:sz w:val="24"/>
                <w:szCs w:val="24"/>
                <w:highlight w:val="none"/>
              </w:rPr>
            </w:pPr>
          </w:p>
        </w:tc>
        <w:tc>
          <w:tcPr>
            <w:tcW w:w="2346" w:type="dxa"/>
            <w:vAlign w:val="center"/>
          </w:tcPr>
          <w:p w14:paraId="3EC4827D">
            <w:pPr>
              <w:pStyle w:val="13"/>
              <w:spacing w:line="440" w:lineRule="exact"/>
              <w:rPr>
                <w:rFonts w:hAnsi="宋体" w:cs="宋体"/>
                <w:bCs/>
                <w:color w:val="auto"/>
                <w:sz w:val="24"/>
                <w:szCs w:val="24"/>
                <w:highlight w:val="none"/>
              </w:rPr>
            </w:pPr>
            <w:r>
              <w:rPr>
                <w:rFonts w:hint="eastAsia" w:hAnsi="宋体" w:cs="宋体"/>
                <w:bCs/>
                <w:color w:val="auto"/>
                <w:sz w:val="24"/>
                <w:szCs w:val="24"/>
                <w:highlight w:val="none"/>
              </w:rPr>
              <w:t>...</w:t>
            </w:r>
          </w:p>
        </w:tc>
        <w:tc>
          <w:tcPr>
            <w:tcW w:w="2996" w:type="dxa"/>
          </w:tcPr>
          <w:p w14:paraId="345D03EF">
            <w:pPr>
              <w:pStyle w:val="13"/>
              <w:spacing w:line="440" w:lineRule="exact"/>
              <w:jc w:val="left"/>
              <w:rPr>
                <w:rFonts w:hAnsi="宋体" w:cs="宋体"/>
                <w:bCs/>
                <w:color w:val="auto"/>
                <w:sz w:val="24"/>
                <w:szCs w:val="24"/>
                <w:highlight w:val="none"/>
              </w:rPr>
            </w:pPr>
            <w:r>
              <w:rPr>
                <w:rFonts w:hint="eastAsia" w:hAnsi="宋体" w:cs="宋体"/>
                <w:bCs/>
                <w:color w:val="auto"/>
                <w:sz w:val="24"/>
                <w:szCs w:val="24"/>
                <w:highlight w:val="none"/>
              </w:rPr>
              <w:t>元/月×人</w:t>
            </w:r>
          </w:p>
        </w:tc>
        <w:tc>
          <w:tcPr>
            <w:tcW w:w="1499" w:type="dxa"/>
          </w:tcPr>
          <w:p w14:paraId="6819494D">
            <w:pPr>
              <w:pStyle w:val="13"/>
              <w:spacing w:line="440" w:lineRule="exact"/>
              <w:rPr>
                <w:rFonts w:hAnsi="宋体" w:cs="宋体"/>
                <w:bCs/>
                <w:color w:val="auto"/>
                <w:sz w:val="24"/>
                <w:szCs w:val="24"/>
                <w:highlight w:val="none"/>
              </w:rPr>
            </w:pPr>
          </w:p>
        </w:tc>
        <w:tc>
          <w:tcPr>
            <w:tcW w:w="1548" w:type="dxa"/>
          </w:tcPr>
          <w:p w14:paraId="314A832E">
            <w:pPr>
              <w:pStyle w:val="13"/>
              <w:spacing w:line="440" w:lineRule="exact"/>
              <w:rPr>
                <w:rFonts w:hAnsi="宋体" w:cs="宋体"/>
                <w:bCs/>
                <w:color w:val="auto"/>
                <w:sz w:val="24"/>
                <w:szCs w:val="24"/>
                <w:highlight w:val="none"/>
              </w:rPr>
            </w:pPr>
          </w:p>
        </w:tc>
        <w:tc>
          <w:tcPr>
            <w:tcW w:w="762" w:type="dxa"/>
          </w:tcPr>
          <w:p w14:paraId="0BCF0116">
            <w:pPr>
              <w:pStyle w:val="13"/>
              <w:spacing w:line="440" w:lineRule="exact"/>
              <w:rPr>
                <w:rFonts w:hAnsi="宋体" w:cs="宋体"/>
                <w:bCs/>
                <w:color w:val="auto"/>
                <w:sz w:val="24"/>
                <w:szCs w:val="24"/>
                <w:highlight w:val="none"/>
              </w:rPr>
            </w:pPr>
          </w:p>
        </w:tc>
      </w:tr>
      <w:tr w14:paraId="687D0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7" w:type="dxa"/>
            <w:vAlign w:val="center"/>
          </w:tcPr>
          <w:p w14:paraId="6FB6EC5A">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二</w:t>
            </w:r>
          </w:p>
        </w:tc>
        <w:tc>
          <w:tcPr>
            <w:tcW w:w="2346" w:type="dxa"/>
            <w:vAlign w:val="center"/>
          </w:tcPr>
          <w:p w14:paraId="48F23F45">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福利、津贴、考核</w:t>
            </w:r>
          </w:p>
        </w:tc>
        <w:tc>
          <w:tcPr>
            <w:tcW w:w="2996" w:type="dxa"/>
          </w:tcPr>
          <w:p w14:paraId="37C17D96">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一×%</w:t>
            </w:r>
          </w:p>
        </w:tc>
        <w:tc>
          <w:tcPr>
            <w:tcW w:w="1499" w:type="dxa"/>
          </w:tcPr>
          <w:p w14:paraId="708CDE79">
            <w:pPr>
              <w:pStyle w:val="13"/>
              <w:spacing w:line="440" w:lineRule="exact"/>
              <w:rPr>
                <w:rFonts w:hAnsi="宋体" w:cs="宋体"/>
                <w:bCs/>
                <w:color w:val="auto"/>
                <w:sz w:val="24"/>
                <w:szCs w:val="24"/>
                <w:highlight w:val="none"/>
              </w:rPr>
            </w:pPr>
          </w:p>
        </w:tc>
        <w:tc>
          <w:tcPr>
            <w:tcW w:w="1548" w:type="dxa"/>
          </w:tcPr>
          <w:p w14:paraId="60E62523">
            <w:pPr>
              <w:pStyle w:val="13"/>
              <w:spacing w:line="440" w:lineRule="exact"/>
              <w:rPr>
                <w:rFonts w:hAnsi="宋体" w:cs="宋体"/>
                <w:bCs/>
                <w:color w:val="auto"/>
                <w:sz w:val="24"/>
                <w:szCs w:val="24"/>
                <w:highlight w:val="none"/>
              </w:rPr>
            </w:pPr>
          </w:p>
        </w:tc>
        <w:tc>
          <w:tcPr>
            <w:tcW w:w="762" w:type="dxa"/>
          </w:tcPr>
          <w:p w14:paraId="45BC618F">
            <w:pPr>
              <w:pStyle w:val="13"/>
              <w:spacing w:line="440" w:lineRule="exact"/>
              <w:rPr>
                <w:rFonts w:hAnsi="宋体" w:cs="宋体"/>
                <w:bCs/>
                <w:color w:val="auto"/>
                <w:sz w:val="24"/>
                <w:szCs w:val="24"/>
                <w:highlight w:val="none"/>
              </w:rPr>
            </w:pPr>
          </w:p>
        </w:tc>
      </w:tr>
      <w:tr w14:paraId="5BD7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7" w:type="dxa"/>
            <w:vAlign w:val="center"/>
          </w:tcPr>
          <w:p w14:paraId="5EB6744E">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三</w:t>
            </w:r>
          </w:p>
        </w:tc>
        <w:tc>
          <w:tcPr>
            <w:tcW w:w="2346" w:type="dxa"/>
            <w:vAlign w:val="center"/>
          </w:tcPr>
          <w:p w14:paraId="7FCE60E2">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社保</w:t>
            </w:r>
          </w:p>
        </w:tc>
        <w:tc>
          <w:tcPr>
            <w:tcW w:w="2996" w:type="dxa"/>
          </w:tcPr>
          <w:p w14:paraId="05AC1C0B">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元/月×人</w:t>
            </w:r>
          </w:p>
        </w:tc>
        <w:tc>
          <w:tcPr>
            <w:tcW w:w="1499" w:type="dxa"/>
          </w:tcPr>
          <w:p w14:paraId="3437927F">
            <w:pPr>
              <w:pStyle w:val="13"/>
              <w:spacing w:line="440" w:lineRule="exact"/>
              <w:rPr>
                <w:rFonts w:hAnsi="宋体" w:cs="宋体"/>
                <w:bCs/>
                <w:color w:val="auto"/>
                <w:sz w:val="24"/>
                <w:szCs w:val="24"/>
                <w:highlight w:val="none"/>
              </w:rPr>
            </w:pPr>
          </w:p>
        </w:tc>
        <w:tc>
          <w:tcPr>
            <w:tcW w:w="1548" w:type="dxa"/>
          </w:tcPr>
          <w:p w14:paraId="03E3B64F">
            <w:pPr>
              <w:pStyle w:val="13"/>
              <w:spacing w:line="440" w:lineRule="exact"/>
              <w:rPr>
                <w:rFonts w:hAnsi="宋体" w:cs="宋体"/>
                <w:bCs/>
                <w:color w:val="auto"/>
                <w:sz w:val="24"/>
                <w:szCs w:val="24"/>
                <w:highlight w:val="none"/>
              </w:rPr>
            </w:pPr>
          </w:p>
        </w:tc>
        <w:tc>
          <w:tcPr>
            <w:tcW w:w="762" w:type="dxa"/>
          </w:tcPr>
          <w:p w14:paraId="39E00277">
            <w:pPr>
              <w:pStyle w:val="13"/>
              <w:spacing w:line="440" w:lineRule="exact"/>
              <w:rPr>
                <w:rFonts w:hAnsi="宋体" w:cs="宋体"/>
                <w:bCs/>
                <w:color w:val="auto"/>
                <w:sz w:val="24"/>
                <w:szCs w:val="24"/>
                <w:highlight w:val="none"/>
              </w:rPr>
            </w:pPr>
          </w:p>
        </w:tc>
      </w:tr>
      <w:tr w14:paraId="3F0E1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7" w:type="dxa"/>
            <w:vAlign w:val="center"/>
          </w:tcPr>
          <w:p w14:paraId="3152F6EF">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四</w:t>
            </w:r>
          </w:p>
        </w:tc>
        <w:tc>
          <w:tcPr>
            <w:tcW w:w="2346" w:type="dxa"/>
            <w:vAlign w:val="center"/>
          </w:tcPr>
          <w:p w14:paraId="5F9BA22B">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安保器材装备费</w:t>
            </w:r>
          </w:p>
        </w:tc>
        <w:tc>
          <w:tcPr>
            <w:tcW w:w="2996" w:type="dxa"/>
            <w:vAlign w:val="center"/>
          </w:tcPr>
          <w:p w14:paraId="780DED1D">
            <w:pPr>
              <w:pStyle w:val="13"/>
              <w:spacing w:line="440" w:lineRule="exact"/>
              <w:jc w:val="left"/>
              <w:rPr>
                <w:rFonts w:hAnsi="宋体" w:cs="宋体"/>
                <w:b/>
                <w:bCs/>
                <w:color w:val="auto"/>
                <w:sz w:val="24"/>
                <w:szCs w:val="24"/>
                <w:highlight w:val="none"/>
              </w:rPr>
            </w:pPr>
            <w:r>
              <w:rPr>
                <w:rFonts w:hint="eastAsia" w:hAnsi="宋体" w:cs="宋体"/>
                <w:b/>
                <w:bCs/>
                <w:color w:val="auto"/>
                <w:sz w:val="24"/>
                <w:szCs w:val="24"/>
                <w:highlight w:val="none"/>
              </w:rPr>
              <w:t>附明细</w:t>
            </w:r>
          </w:p>
        </w:tc>
        <w:tc>
          <w:tcPr>
            <w:tcW w:w="1499" w:type="dxa"/>
          </w:tcPr>
          <w:p w14:paraId="43036816">
            <w:pPr>
              <w:pStyle w:val="13"/>
              <w:spacing w:line="440" w:lineRule="exact"/>
              <w:rPr>
                <w:rFonts w:hAnsi="宋体" w:cs="宋体"/>
                <w:bCs/>
                <w:color w:val="auto"/>
                <w:sz w:val="24"/>
                <w:szCs w:val="24"/>
                <w:highlight w:val="none"/>
              </w:rPr>
            </w:pPr>
          </w:p>
        </w:tc>
        <w:tc>
          <w:tcPr>
            <w:tcW w:w="1548" w:type="dxa"/>
          </w:tcPr>
          <w:p w14:paraId="695D2C6E">
            <w:pPr>
              <w:pStyle w:val="13"/>
              <w:spacing w:line="440" w:lineRule="exact"/>
              <w:rPr>
                <w:rFonts w:hAnsi="宋体" w:cs="宋体"/>
                <w:bCs/>
                <w:color w:val="auto"/>
                <w:sz w:val="24"/>
                <w:szCs w:val="24"/>
                <w:highlight w:val="none"/>
              </w:rPr>
            </w:pPr>
          </w:p>
        </w:tc>
        <w:tc>
          <w:tcPr>
            <w:tcW w:w="762" w:type="dxa"/>
          </w:tcPr>
          <w:p w14:paraId="1096A977">
            <w:pPr>
              <w:pStyle w:val="13"/>
              <w:spacing w:line="440" w:lineRule="exact"/>
              <w:rPr>
                <w:rFonts w:hAnsi="宋体" w:cs="宋体"/>
                <w:bCs/>
                <w:color w:val="auto"/>
                <w:sz w:val="24"/>
                <w:szCs w:val="24"/>
                <w:highlight w:val="none"/>
              </w:rPr>
            </w:pPr>
          </w:p>
        </w:tc>
      </w:tr>
      <w:tr w14:paraId="3977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7" w:type="dxa"/>
            <w:vAlign w:val="center"/>
          </w:tcPr>
          <w:p w14:paraId="53A90EA2">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五</w:t>
            </w:r>
          </w:p>
        </w:tc>
        <w:tc>
          <w:tcPr>
            <w:tcW w:w="2346" w:type="dxa"/>
            <w:vAlign w:val="center"/>
          </w:tcPr>
          <w:p w14:paraId="52E138E9">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保洁用品费</w:t>
            </w:r>
          </w:p>
        </w:tc>
        <w:tc>
          <w:tcPr>
            <w:tcW w:w="2996" w:type="dxa"/>
            <w:vAlign w:val="center"/>
          </w:tcPr>
          <w:p w14:paraId="1F91F263">
            <w:pPr>
              <w:pStyle w:val="13"/>
              <w:spacing w:line="440" w:lineRule="exact"/>
              <w:jc w:val="left"/>
              <w:rPr>
                <w:rFonts w:hAnsi="宋体" w:cs="宋体"/>
                <w:b/>
                <w:bCs/>
                <w:color w:val="auto"/>
                <w:sz w:val="24"/>
                <w:szCs w:val="24"/>
                <w:highlight w:val="none"/>
              </w:rPr>
            </w:pPr>
            <w:r>
              <w:rPr>
                <w:rFonts w:hint="eastAsia" w:hAnsi="宋体" w:cs="宋体"/>
                <w:b/>
                <w:bCs/>
                <w:color w:val="auto"/>
                <w:sz w:val="24"/>
                <w:szCs w:val="24"/>
                <w:highlight w:val="none"/>
              </w:rPr>
              <w:t>附明细</w:t>
            </w:r>
          </w:p>
        </w:tc>
        <w:tc>
          <w:tcPr>
            <w:tcW w:w="1499" w:type="dxa"/>
          </w:tcPr>
          <w:p w14:paraId="62DE444F">
            <w:pPr>
              <w:pStyle w:val="13"/>
              <w:spacing w:line="440" w:lineRule="exact"/>
              <w:rPr>
                <w:rFonts w:hAnsi="宋体" w:cs="宋体"/>
                <w:bCs/>
                <w:color w:val="auto"/>
                <w:sz w:val="24"/>
                <w:szCs w:val="24"/>
                <w:highlight w:val="none"/>
              </w:rPr>
            </w:pPr>
          </w:p>
        </w:tc>
        <w:tc>
          <w:tcPr>
            <w:tcW w:w="1548" w:type="dxa"/>
          </w:tcPr>
          <w:p w14:paraId="7EFACAB0">
            <w:pPr>
              <w:pStyle w:val="13"/>
              <w:spacing w:line="440" w:lineRule="exact"/>
              <w:rPr>
                <w:rFonts w:hAnsi="宋体" w:cs="宋体"/>
                <w:bCs/>
                <w:color w:val="auto"/>
                <w:sz w:val="24"/>
                <w:szCs w:val="24"/>
                <w:highlight w:val="none"/>
              </w:rPr>
            </w:pPr>
          </w:p>
        </w:tc>
        <w:tc>
          <w:tcPr>
            <w:tcW w:w="762" w:type="dxa"/>
          </w:tcPr>
          <w:p w14:paraId="028E1B80">
            <w:pPr>
              <w:pStyle w:val="13"/>
              <w:spacing w:line="440" w:lineRule="exact"/>
              <w:rPr>
                <w:rFonts w:hAnsi="宋体" w:cs="宋体"/>
                <w:bCs/>
                <w:color w:val="auto"/>
                <w:sz w:val="24"/>
                <w:szCs w:val="24"/>
                <w:highlight w:val="none"/>
              </w:rPr>
            </w:pPr>
          </w:p>
        </w:tc>
      </w:tr>
      <w:tr w14:paraId="4304D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7" w:type="dxa"/>
            <w:vAlign w:val="center"/>
          </w:tcPr>
          <w:p w14:paraId="5B47C4F8">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六</w:t>
            </w:r>
          </w:p>
        </w:tc>
        <w:tc>
          <w:tcPr>
            <w:tcW w:w="2346" w:type="dxa"/>
            <w:vAlign w:val="center"/>
          </w:tcPr>
          <w:p w14:paraId="3C43A5D0">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物管设备折旧</w:t>
            </w:r>
          </w:p>
        </w:tc>
        <w:tc>
          <w:tcPr>
            <w:tcW w:w="2996" w:type="dxa"/>
            <w:vAlign w:val="center"/>
          </w:tcPr>
          <w:p w14:paraId="7FCA9D9F">
            <w:pPr>
              <w:pStyle w:val="13"/>
              <w:spacing w:line="440" w:lineRule="exact"/>
              <w:jc w:val="left"/>
              <w:rPr>
                <w:rFonts w:hAnsi="宋体" w:cs="宋体"/>
                <w:b/>
                <w:bCs/>
                <w:color w:val="auto"/>
                <w:sz w:val="24"/>
                <w:szCs w:val="24"/>
                <w:highlight w:val="none"/>
              </w:rPr>
            </w:pPr>
          </w:p>
        </w:tc>
        <w:tc>
          <w:tcPr>
            <w:tcW w:w="1499" w:type="dxa"/>
          </w:tcPr>
          <w:p w14:paraId="76E68A4C">
            <w:pPr>
              <w:pStyle w:val="13"/>
              <w:spacing w:line="440" w:lineRule="exact"/>
              <w:rPr>
                <w:rFonts w:hAnsi="宋体" w:cs="宋体"/>
                <w:bCs/>
                <w:color w:val="auto"/>
                <w:sz w:val="24"/>
                <w:szCs w:val="24"/>
                <w:highlight w:val="none"/>
              </w:rPr>
            </w:pPr>
          </w:p>
        </w:tc>
        <w:tc>
          <w:tcPr>
            <w:tcW w:w="1548" w:type="dxa"/>
          </w:tcPr>
          <w:p w14:paraId="2500559A">
            <w:pPr>
              <w:pStyle w:val="13"/>
              <w:spacing w:line="440" w:lineRule="exact"/>
              <w:rPr>
                <w:rFonts w:hAnsi="宋体" w:cs="宋体"/>
                <w:bCs/>
                <w:color w:val="auto"/>
                <w:sz w:val="24"/>
                <w:szCs w:val="24"/>
                <w:highlight w:val="none"/>
              </w:rPr>
            </w:pPr>
          </w:p>
        </w:tc>
        <w:tc>
          <w:tcPr>
            <w:tcW w:w="762" w:type="dxa"/>
          </w:tcPr>
          <w:p w14:paraId="73A0F2E2">
            <w:pPr>
              <w:pStyle w:val="13"/>
              <w:spacing w:line="440" w:lineRule="exact"/>
              <w:rPr>
                <w:rFonts w:hAnsi="宋体" w:cs="宋体"/>
                <w:bCs/>
                <w:color w:val="auto"/>
                <w:sz w:val="24"/>
                <w:szCs w:val="24"/>
                <w:highlight w:val="none"/>
              </w:rPr>
            </w:pPr>
          </w:p>
        </w:tc>
      </w:tr>
      <w:tr w14:paraId="4805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7" w:type="dxa"/>
            <w:vAlign w:val="center"/>
          </w:tcPr>
          <w:p w14:paraId="0DF86FAC">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七</w:t>
            </w:r>
          </w:p>
        </w:tc>
        <w:tc>
          <w:tcPr>
            <w:tcW w:w="2346" w:type="dxa"/>
            <w:vAlign w:val="center"/>
          </w:tcPr>
          <w:p w14:paraId="783A9934">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服装折旧</w:t>
            </w:r>
          </w:p>
        </w:tc>
        <w:tc>
          <w:tcPr>
            <w:tcW w:w="2996" w:type="dxa"/>
          </w:tcPr>
          <w:p w14:paraId="1607A4A4">
            <w:pPr>
              <w:pStyle w:val="13"/>
              <w:spacing w:line="440" w:lineRule="exact"/>
              <w:rPr>
                <w:rFonts w:hAnsi="宋体" w:cs="宋体"/>
                <w:b/>
                <w:bCs/>
                <w:color w:val="auto"/>
                <w:sz w:val="24"/>
                <w:szCs w:val="24"/>
                <w:highlight w:val="none"/>
              </w:rPr>
            </w:pPr>
          </w:p>
        </w:tc>
        <w:tc>
          <w:tcPr>
            <w:tcW w:w="1499" w:type="dxa"/>
          </w:tcPr>
          <w:p w14:paraId="75AB8DC2">
            <w:pPr>
              <w:pStyle w:val="13"/>
              <w:spacing w:line="440" w:lineRule="exact"/>
              <w:rPr>
                <w:rFonts w:hAnsi="宋体" w:cs="宋体"/>
                <w:bCs/>
                <w:color w:val="auto"/>
                <w:sz w:val="24"/>
                <w:szCs w:val="24"/>
                <w:highlight w:val="none"/>
              </w:rPr>
            </w:pPr>
          </w:p>
        </w:tc>
        <w:tc>
          <w:tcPr>
            <w:tcW w:w="1548" w:type="dxa"/>
          </w:tcPr>
          <w:p w14:paraId="3F1FC43E">
            <w:pPr>
              <w:pStyle w:val="13"/>
              <w:spacing w:line="440" w:lineRule="exact"/>
              <w:rPr>
                <w:rFonts w:hAnsi="宋体" w:cs="宋体"/>
                <w:bCs/>
                <w:color w:val="auto"/>
                <w:sz w:val="24"/>
                <w:szCs w:val="24"/>
                <w:highlight w:val="none"/>
              </w:rPr>
            </w:pPr>
          </w:p>
        </w:tc>
        <w:tc>
          <w:tcPr>
            <w:tcW w:w="762" w:type="dxa"/>
          </w:tcPr>
          <w:p w14:paraId="4AE54CE9">
            <w:pPr>
              <w:pStyle w:val="13"/>
              <w:spacing w:line="440" w:lineRule="exact"/>
              <w:rPr>
                <w:rFonts w:hAnsi="宋体" w:cs="宋体"/>
                <w:bCs/>
                <w:color w:val="auto"/>
                <w:sz w:val="24"/>
                <w:szCs w:val="24"/>
                <w:highlight w:val="none"/>
              </w:rPr>
            </w:pPr>
          </w:p>
        </w:tc>
      </w:tr>
      <w:tr w14:paraId="6A39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7" w:type="dxa"/>
            <w:vAlign w:val="center"/>
          </w:tcPr>
          <w:p w14:paraId="529CFDE2">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八</w:t>
            </w:r>
          </w:p>
        </w:tc>
        <w:tc>
          <w:tcPr>
            <w:tcW w:w="2346" w:type="dxa"/>
            <w:vAlign w:val="center"/>
          </w:tcPr>
          <w:p w14:paraId="73D4FE91">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办公费用</w:t>
            </w:r>
          </w:p>
        </w:tc>
        <w:tc>
          <w:tcPr>
            <w:tcW w:w="2996" w:type="dxa"/>
          </w:tcPr>
          <w:p w14:paraId="0DE4ABDB">
            <w:pPr>
              <w:pStyle w:val="13"/>
              <w:spacing w:line="440" w:lineRule="exact"/>
              <w:rPr>
                <w:rFonts w:hAnsi="宋体" w:cs="宋体"/>
                <w:b/>
                <w:bCs/>
                <w:color w:val="auto"/>
                <w:sz w:val="24"/>
                <w:szCs w:val="24"/>
                <w:highlight w:val="none"/>
              </w:rPr>
            </w:pPr>
          </w:p>
        </w:tc>
        <w:tc>
          <w:tcPr>
            <w:tcW w:w="1499" w:type="dxa"/>
          </w:tcPr>
          <w:p w14:paraId="1C1BA470">
            <w:pPr>
              <w:pStyle w:val="13"/>
              <w:spacing w:line="440" w:lineRule="exact"/>
              <w:rPr>
                <w:rFonts w:hAnsi="宋体" w:cs="宋体"/>
                <w:bCs/>
                <w:color w:val="auto"/>
                <w:sz w:val="24"/>
                <w:szCs w:val="24"/>
                <w:highlight w:val="none"/>
              </w:rPr>
            </w:pPr>
          </w:p>
        </w:tc>
        <w:tc>
          <w:tcPr>
            <w:tcW w:w="1548" w:type="dxa"/>
          </w:tcPr>
          <w:p w14:paraId="1BAC5B13">
            <w:pPr>
              <w:pStyle w:val="13"/>
              <w:spacing w:line="440" w:lineRule="exact"/>
              <w:rPr>
                <w:rFonts w:hAnsi="宋体" w:cs="宋体"/>
                <w:bCs/>
                <w:color w:val="auto"/>
                <w:sz w:val="24"/>
                <w:szCs w:val="24"/>
                <w:highlight w:val="none"/>
              </w:rPr>
            </w:pPr>
          </w:p>
        </w:tc>
        <w:tc>
          <w:tcPr>
            <w:tcW w:w="762" w:type="dxa"/>
          </w:tcPr>
          <w:p w14:paraId="3D5E83A3">
            <w:pPr>
              <w:pStyle w:val="13"/>
              <w:spacing w:line="440" w:lineRule="exact"/>
              <w:rPr>
                <w:rFonts w:hAnsi="宋体" w:cs="宋体"/>
                <w:bCs/>
                <w:color w:val="auto"/>
                <w:sz w:val="24"/>
                <w:szCs w:val="24"/>
                <w:highlight w:val="none"/>
              </w:rPr>
            </w:pPr>
          </w:p>
        </w:tc>
      </w:tr>
      <w:tr w14:paraId="7B6E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exact"/>
          <w:jc w:val="center"/>
        </w:trPr>
        <w:tc>
          <w:tcPr>
            <w:tcW w:w="737" w:type="dxa"/>
            <w:vAlign w:val="center"/>
          </w:tcPr>
          <w:p w14:paraId="5E7A0DF2">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九</w:t>
            </w:r>
          </w:p>
        </w:tc>
        <w:tc>
          <w:tcPr>
            <w:tcW w:w="2346" w:type="dxa"/>
            <w:vAlign w:val="center"/>
          </w:tcPr>
          <w:p w14:paraId="1D6EC780">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合理利润</w:t>
            </w:r>
          </w:p>
        </w:tc>
        <w:tc>
          <w:tcPr>
            <w:tcW w:w="2996" w:type="dxa"/>
          </w:tcPr>
          <w:p w14:paraId="34EAE720">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（一+…+</w:t>
            </w:r>
            <w:r>
              <w:rPr>
                <w:rFonts w:hint="eastAsia" w:hAnsi="宋体" w:cs="宋体"/>
                <w:b/>
                <w:bCs/>
                <w:color w:val="auto"/>
                <w:sz w:val="24"/>
                <w:szCs w:val="24"/>
                <w:highlight w:val="none"/>
                <w:lang w:eastAsia="zh-CN"/>
              </w:rPr>
              <w:t>八</w:t>
            </w:r>
            <w:r>
              <w:rPr>
                <w:rFonts w:hint="eastAsia" w:hAnsi="宋体" w:cs="宋体"/>
                <w:b/>
                <w:bCs/>
                <w:color w:val="auto"/>
                <w:sz w:val="24"/>
                <w:szCs w:val="24"/>
                <w:highlight w:val="none"/>
              </w:rPr>
              <w:t>）×%</w:t>
            </w:r>
          </w:p>
        </w:tc>
        <w:tc>
          <w:tcPr>
            <w:tcW w:w="1499" w:type="dxa"/>
          </w:tcPr>
          <w:p w14:paraId="37FD6973">
            <w:pPr>
              <w:pStyle w:val="13"/>
              <w:spacing w:line="440" w:lineRule="exact"/>
              <w:rPr>
                <w:rFonts w:hAnsi="宋体" w:cs="宋体"/>
                <w:bCs/>
                <w:color w:val="auto"/>
                <w:sz w:val="24"/>
                <w:szCs w:val="24"/>
                <w:highlight w:val="none"/>
              </w:rPr>
            </w:pPr>
          </w:p>
        </w:tc>
        <w:tc>
          <w:tcPr>
            <w:tcW w:w="1548" w:type="dxa"/>
          </w:tcPr>
          <w:p w14:paraId="4FE1E23F">
            <w:pPr>
              <w:pStyle w:val="13"/>
              <w:spacing w:line="440" w:lineRule="exact"/>
              <w:rPr>
                <w:rFonts w:hAnsi="宋体" w:cs="宋体"/>
                <w:bCs/>
                <w:color w:val="auto"/>
                <w:sz w:val="24"/>
                <w:szCs w:val="24"/>
                <w:highlight w:val="none"/>
              </w:rPr>
            </w:pPr>
          </w:p>
        </w:tc>
        <w:tc>
          <w:tcPr>
            <w:tcW w:w="762" w:type="dxa"/>
          </w:tcPr>
          <w:p w14:paraId="49A7EE29">
            <w:pPr>
              <w:pStyle w:val="13"/>
              <w:spacing w:line="440" w:lineRule="exact"/>
              <w:rPr>
                <w:rFonts w:hAnsi="宋体" w:cs="宋体"/>
                <w:bCs/>
                <w:color w:val="auto"/>
                <w:sz w:val="24"/>
                <w:szCs w:val="24"/>
                <w:highlight w:val="none"/>
              </w:rPr>
            </w:pPr>
          </w:p>
        </w:tc>
      </w:tr>
      <w:tr w14:paraId="3DA6E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exact"/>
          <w:jc w:val="center"/>
        </w:trPr>
        <w:tc>
          <w:tcPr>
            <w:tcW w:w="737" w:type="dxa"/>
            <w:vAlign w:val="center"/>
          </w:tcPr>
          <w:p w14:paraId="0A7CFB45">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十</w:t>
            </w:r>
          </w:p>
        </w:tc>
        <w:tc>
          <w:tcPr>
            <w:tcW w:w="2346" w:type="dxa"/>
            <w:vAlign w:val="center"/>
          </w:tcPr>
          <w:p w14:paraId="1094A10D">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法定税金</w:t>
            </w:r>
          </w:p>
        </w:tc>
        <w:tc>
          <w:tcPr>
            <w:tcW w:w="2996" w:type="dxa"/>
          </w:tcPr>
          <w:p w14:paraId="158CA30E">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（一+…+</w:t>
            </w:r>
            <w:r>
              <w:rPr>
                <w:rFonts w:hint="eastAsia" w:hAnsi="宋体" w:cs="宋体"/>
                <w:b/>
                <w:bCs/>
                <w:color w:val="auto"/>
                <w:sz w:val="24"/>
                <w:szCs w:val="24"/>
                <w:highlight w:val="none"/>
                <w:lang w:eastAsia="zh-CN"/>
              </w:rPr>
              <w:t>九</w:t>
            </w:r>
            <w:r>
              <w:rPr>
                <w:rFonts w:hint="eastAsia" w:hAnsi="宋体" w:cs="宋体"/>
                <w:b/>
                <w:bCs/>
                <w:color w:val="auto"/>
                <w:sz w:val="24"/>
                <w:szCs w:val="24"/>
                <w:highlight w:val="none"/>
              </w:rPr>
              <w:t>）×%</w:t>
            </w:r>
          </w:p>
        </w:tc>
        <w:tc>
          <w:tcPr>
            <w:tcW w:w="1499" w:type="dxa"/>
          </w:tcPr>
          <w:p w14:paraId="46204C03">
            <w:pPr>
              <w:pStyle w:val="13"/>
              <w:spacing w:line="440" w:lineRule="exact"/>
              <w:rPr>
                <w:rFonts w:hAnsi="宋体" w:cs="宋体"/>
                <w:bCs/>
                <w:color w:val="auto"/>
                <w:sz w:val="24"/>
                <w:szCs w:val="24"/>
                <w:highlight w:val="none"/>
              </w:rPr>
            </w:pPr>
          </w:p>
        </w:tc>
        <w:tc>
          <w:tcPr>
            <w:tcW w:w="1548" w:type="dxa"/>
          </w:tcPr>
          <w:p w14:paraId="03A78191">
            <w:pPr>
              <w:pStyle w:val="13"/>
              <w:spacing w:line="440" w:lineRule="exact"/>
              <w:rPr>
                <w:rFonts w:hAnsi="宋体" w:cs="宋体"/>
                <w:bCs/>
                <w:color w:val="auto"/>
                <w:sz w:val="24"/>
                <w:szCs w:val="24"/>
                <w:highlight w:val="none"/>
              </w:rPr>
            </w:pPr>
          </w:p>
        </w:tc>
        <w:tc>
          <w:tcPr>
            <w:tcW w:w="762" w:type="dxa"/>
          </w:tcPr>
          <w:p w14:paraId="5E0AEEE9">
            <w:pPr>
              <w:pStyle w:val="13"/>
              <w:spacing w:line="440" w:lineRule="exact"/>
              <w:rPr>
                <w:rFonts w:hAnsi="宋体" w:cs="宋体"/>
                <w:bCs/>
                <w:color w:val="auto"/>
                <w:sz w:val="24"/>
                <w:szCs w:val="24"/>
                <w:highlight w:val="none"/>
              </w:rPr>
            </w:pPr>
          </w:p>
        </w:tc>
      </w:tr>
      <w:tr w14:paraId="7451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7" w:type="dxa"/>
            <w:vAlign w:val="center"/>
          </w:tcPr>
          <w:p w14:paraId="0ED84A51">
            <w:pPr>
              <w:pStyle w:val="13"/>
              <w:spacing w:line="440" w:lineRule="exact"/>
              <w:jc w:val="center"/>
              <w:rPr>
                <w:rFonts w:hAnsi="宋体" w:cs="宋体"/>
                <w:bCs/>
                <w:color w:val="auto"/>
                <w:sz w:val="24"/>
                <w:szCs w:val="24"/>
                <w:highlight w:val="none"/>
              </w:rPr>
            </w:pPr>
            <w:r>
              <w:rPr>
                <w:rFonts w:hint="eastAsia" w:hAnsi="宋体" w:cs="宋体"/>
                <w:bCs/>
                <w:color w:val="auto"/>
                <w:sz w:val="24"/>
                <w:szCs w:val="24"/>
                <w:highlight w:val="none"/>
              </w:rPr>
              <w:t>十一</w:t>
            </w:r>
          </w:p>
        </w:tc>
        <w:tc>
          <w:tcPr>
            <w:tcW w:w="5342" w:type="dxa"/>
            <w:gridSpan w:val="2"/>
            <w:vAlign w:val="center"/>
          </w:tcPr>
          <w:p w14:paraId="3D07524D">
            <w:pPr>
              <w:pStyle w:val="13"/>
              <w:spacing w:line="440" w:lineRule="exact"/>
              <w:jc w:val="center"/>
              <w:rPr>
                <w:rFonts w:hAnsi="宋体" w:cs="宋体"/>
                <w:bCs/>
                <w:color w:val="auto"/>
                <w:sz w:val="24"/>
                <w:szCs w:val="24"/>
                <w:highlight w:val="none"/>
              </w:rPr>
            </w:pPr>
            <w:r>
              <w:rPr>
                <w:rFonts w:hint="eastAsia" w:hAnsi="宋体" w:cs="宋体"/>
                <w:b/>
                <w:bCs/>
                <w:color w:val="auto"/>
                <w:sz w:val="24"/>
                <w:szCs w:val="24"/>
                <w:highlight w:val="none"/>
              </w:rPr>
              <w:t>一年费用合计（年支出之和）（元）</w:t>
            </w:r>
          </w:p>
        </w:tc>
        <w:tc>
          <w:tcPr>
            <w:tcW w:w="3809" w:type="dxa"/>
            <w:gridSpan w:val="3"/>
          </w:tcPr>
          <w:p w14:paraId="1C5A555B">
            <w:pPr>
              <w:pStyle w:val="13"/>
              <w:spacing w:line="440" w:lineRule="exact"/>
              <w:rPr>
                <w:rFonts w:hAnsi="宋体" w:cs="宋体"/>
                <w:bCs/>
                <w:color w:val="auto"/>
                <w:sz w:val="24"/>
                <w:szCs w:val="24"/>
                <w:highlight w:val="none"/>
              </w:rPr>
            </w:pPr>
          </w:p>
        </w:tc>
      </w:tr>
      <w:tr w14:paraId="309F8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7" w:type="dxa"/>
            <w:vAlign w:val="center"/>
          </w:tcPr>
          <w:p w14:paraId="67288833">
            <w:pPr>
              <w:pStyle w:val="13"/>
              <w:spacing w:line="440" w:lineRule="exact"/>
              <w:jc w:val="center"/>
              <w:rPr>
                <w:rFonts w:hAnsi="宋体" w:cs="宋体"/>
                <w:bCs/>
                <w:color w:val="auto"/>
                <w:sz w:val="24"/>
                <w:szCs w:val="24"/>
                <w:highlight w:val="none"/>
              </w:rPr>
            </w:pPr>
            <w:r>
              <w:rPr>
                <w:rFonts w:hint="eastAsia" w:hAnsi="宋体" w:cs="宋体"/>
                <w:bCs/>
                <w:color w:val="auto"/>
                <w:sz w:val="24"/>
                <w:szCs w:val="24"/>
                <w:highlight w:val="none"/>
              </w:rPr>
              <w:t>十二</w:t>
            </w:r>
          </w:p>
        </w:tc>
        <w:tc>
          <w:tcPr>
            <w:tcW w:w="5342" w:type="dxa"/>
            <w:gridSpan w:val="2"/>
            <w:vAlign w:val="center"/>
          </w:tcPr>
          <w:p w14:paraId="602F0C96">
            <w:pPr>
              <w:pStyle w:val="13"/>
              <w:spacing w:line="440" w:lineRule="exact"/>
              <w:jc w:val="center"/>
              <w:rPr>
                <w:rFonts w:hAnsi="宋体" w:cs="宋体"/>
                <w:b/>
                <w:bCs/>
                <w:color w:val="auto"/>
                <w:sz w:val="24"/>
                <w:szCs w:val="24"/>
                <w:highlight w:val="none"/>
              </w:rPr>
            </w:pPr>
            <w:r>
              <w:rPr>
                <w:rFonts w:hint="eastAsia" w:hAnsi="宋体" w:cs="宋体"/>
                <w:b/>
                <w:bCs/>
                <w:color w:val="auto"/>
                <w:sz w:val="24"/>
                <w:szCs w:val="24"/>
                <w:highlight w:val="none"/>
              </w:rPr>
              <w:t>前期介入服务费(明细附后)（元）</w:t>
            </w:r>
          </w:p>
        </w:tc>
        <w:tc>
          <w:tcPr>
            <w:tcW w:w="3809" w:type="dxa"/>
            <w:gridSpan w:val="3"/>
          </w:tcPr>
          <w:p w14:paraId="4D51B648">
            <w:pPr>
              <w:pStyle w:val="13"/>
              <w:spacing w:line="440" w:lineRule="exact"/>
              <w:rPr>
                <w:rFonts w:hAnsi="宋体" w:cs="宋体"/>
                <w:bCs/>
                <w:color w:val="auto"/>
                <w:sz w:val="24"/>
                <w:szCs w:val="24"/>
                <w:highlight w:val="none"/>
              </w:rPr>
            </w:pPr>
          </w:p>
        </w:tc>
      </w:tr>
      <w:tr w14:paraId="623C4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737" w:type="dxa"/>
            <w:vAlign w:val="center"/>
          </w:tcPr>
          <w:p w14:paraId="4C497F49">
            <w:pPr>
              <w:pStyle w:val="13"/>
              <w:spacing w:line="440" w:lineRule="exact"/>
              <w:jc w:val="center"/>
              <w:rPr>
                <w:rFonts w:hAnsi="宋体" w:cs="宋体"/>
                <w:bCs/>
                <w:color w:val="auto"/>
                <w:sz w:val="22"/>
                <w:szCs w:val="22"/>
                <w:highlight w:val="none"/>
              </w:rPr>
            </w:pPr>
            <w:r>
              <w:rPr>
                <w:rFonts w:hint="eastAsia" w:hAnsi="宋体" w:cs="宋体"/>
                <w:bCs/>
                <w:color w:val="auto"/>
                <w:sz w:val="22"/>
                <w:szCs w:val="22"/>
                <w:highlight w:val="none"/>
              </w:rPr>
              <w:t>十三</w:t>
            </w:r>
          </w:p>
        </w:tc>
        <w:tc>
          <w:tcPr>
            <w:tcW w:w="5342" w:type="dxa"/>
            <w:gridSpan w:val="2"/>
            <w:vAlign w:val="center"/>
          </w:tcPr>
          <w:p w14:paraId="6964AC1A">
            <w:pPr>
              <w:pStyle w:val="13"/>
              <w:spacing w:line="440" w:lineRule="exact"/>
              <w:rPr>
                <w:rFonts w:hAnsi="宋体" w:cs="宋体"/>
                <w:b/>
                <w:bCs/>
                <w:color w:val="auto"/>
                <w:sz w:val="22"/>
                <w:szCs w:val="22"/>
                <w:highlight w:val="none"/>
              </w:rPr>
            </w:pPr>
            <w:r>
              <w:rPr>
                <w:rFonts w:hint="eastAsia" w:hAnsi="宋体" w:cs="宋体"/>
                <w:b/>
                <w:bCs/>
                <w:color w:val="auto"/>
                <w:sz w:val="22"/>
                <w:szCs w:val="22"/>
                <w:highlight w:val="none"/>
              </w:rPr>
              <w:t>投标总价=十一×3+ 十二</w:t>
            </w:r>
          </w:p>
        </w:tc>
        <w:tc>
          <w:tcPr>
            <w:tcW w:w="3809" w:type="dxa"/>
            <w:gridSpan w:val="3"/>
          </w:tcPr>
          <w:p w14:paraId="694B74FC">
            <w:pPr>
              <w:pStyle w:val="13"/>
              <w:spacing w:line="440" w:lineRule="exact"/>
              <w:rPr>
                <w:rFonts w:hAnsi="宋体" w:cs="宋体"/>
                <w:bCs/>
                <w:color w:val="auto"/>
                <w:sz w:val="22"/>
                <w:szCs w:val="22"/>
                <w:highlight w:val="none"/>
              </w:rPr>
            </w:pPr>
          </w:p>
        </w:tc>
      </w:tr>
      <w:tr w14:paraId="52896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88" w:type="dxa"/>
            <w:gridSpan w:val="6"/>
            <w:vAlign w:val="center"/>
          </w:tcPr>
          <w:p w14:paraId="5B5B70F5">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投标总价（三年合计）大写：</w:t>
            </w:r>
          </w:p>
          <w:p w14:paraId="76340F84">
            <w:pPr>
              <w:pStyle w:val="13"/>
              <w:spacing w:line="440" w:lineRule="exact"/>
              <w:rPr>
                <w:rFonts w:hAnsi="宋体" w:cs="宋体"/>
                <w:bCs/>
                <w:color w:val="auto"/>
                <w:sz w:val="24"/>
                <w:szCs w:val="24"/>
                <w:highlight w:val="none"/>
              </w:rPr>
            </w:pPr>
            <w:r>
              <w:rPr>
                <w:rFonts w:hint="eastAsia" w:hAnsi="宋体" w:cs="宋体"/>
                <w:b/>
                <w:bCs/>
                <w:color w:val="auto"/>
                <w:sz w:val="24"/>
                <w:szCs w:val="24"/>
                <w:highlight w:val="none"/>
              </w:rPr>
              <w:t>大写：</w:t>
            </w:r>
          </w:p>
        </w:tc>
      </w:tr>
    </w:tbl>
    <w:p w14:paraId="1A5104BE">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备注：（1）本表中的投标总价必须与投标</w:t>
      </w:r>
      <w:r>
        <w:rPr>
          <w:rFonts w:hint="eastAsia" w:hAnsi="宋体" w:cs="宋体"/>
          <w:b/>
          <w:bCs/>
          <w:color w:val="auto"/>
          <w:sz w:val="24"/>
          <w:szCs w:val="24"/>
          <w:highlight w:val="none"/>
          <w:lang w:val="en-US" w:eastAsia="zh-CN"/>
        </w:rPr>
        <w:t>报价单</w:t>
      </w:r>
      <w:r>
        <w:rPr>
          <w:rFonts w:hint="eastAsia" w:hAnsi="宋体" w:cs="宋体"/>
          <w:b/>
          <w:bCs/>
          <w:color w:val="auto"/>
          <w:sz w:val="24"/>
          <w:szCs w:val="24"/>
          <w:highlight w:val="none"/>
        </w:rPr>
        <w:t>中投标总价一致。</w:t>
      </w:r>
    </w:p>
    <w:p w14:paraId="45023985">
      <w:pPr>
        <w:pStyle w:val="13"/>
        <w:spacing w:line="440" w:lineRule="exact"/>
        <w:rPr>
          <w:rFonts w:hint="default" w:hAnsi="宋体" w:eastAsia="宋体" w:cs="宋体"/>
          <w:b/>
          <w:bCs/>
          <w:color w:val="auto"/>
          <w:sz w:val="24"/>
          <w:szCs w:val="24"/>
          <w:highlight w:val="none"/>
          <w:lang w:val="en-US" w:eastAsia="zh-CN"/>
        </w:rPr>
      </w:pPr>
      <w:r>
        <w:rPr>
          <w:rFonts w:hint="eastAsia" w:hAnsi="宋体" w:cs="宋体"/>
          <w:b/>
          <w:bCs/>
          <w:color w:val="auto"/>
          <w:sz w:val="24"/>
          <w:szCs w:val="24"/>
          <w:highlight w:val="none"/>
        </w:rPr>
        <w:t>（2）此本表出现计算错误时，作为废标处理。</w:t>
      </w:r>
      <w:r>
        <w:rPr>
          <w:rFonts w:hint="eastAsia" w:hAnsi="宋体" w:cs="宋体"/>
          <w:b/>
          <w:bCs/>
          <w:color w:val="auto"/>
          <w:sz w:val="24"/>
          <w:szCs w:val="24"/>
          <w:highlight w:val="none"/>
          <w:lang w:val="en-US" w:eastAsia="zh-CN"/>
        </w:rPr>
        <w:t xml:space="preserve">   </w:t>
      </w:r>
    </w:p>
    <w:p w14:paraId="25BA8A5F">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（3）增值税专用发票税率</w:t>
      </w:r>
      <w:r>
        <w:rPr>
          <w:rFonts w:hint="eastAsia" w:hAnsi="宋体" w:cs="宋体"/>
          <w:b/>
          <w:bCs/>
          <w:color w:val="auto"/>
          <w:sz w:val="24"/>
          <w:szCs w:val="24"/>
          <w:highlight w:val="none"/>
          <w:u w:val="single"/>
        </w:rPr>
        <w:t xml:space="preserve">        %</w:t>
      </w:r>
    </w:p>
    <w:p w14:paraId="020BE932">
      <w:pPr>
        <w:pStyle w:val="13"/>
        <w:spacing w:line="440" w:lineRule="exact"/>
        <w:rPr>
          <w:rFonts w:hAnsi="宋体" w:cs="宋体"/>
          <w:bCs/>
          <w:color w:val="auto"/>
          <w:sz w:val="24"/>
          <w:szCs w:val="24"/>
          <w:highlight w:val="none"/>
          <w:u w:val="single"/>
        </w:rPr>
      </w:pPr>
      <w:r>
        <w:rPr>
          <w:rFonts w:hint="eastAsia" w:hAnsi="宋体" w:cs="宋体"/>
          <w:bCs/>
          <w:color w:val="auto"/>
          <w:sz w:val="24"/>
          <w:szCs w:val="24"/>
          <w:highlight w:val="none"/>
        </w:rPr>
        <w:t>投标人（</w:t>
      </w:r>
      <w:r>
        <w:rPr>
          <w:rFonts w:hint="eastAsia" w:hAnsi="宋体" w:cs="宋体"/>
          <w:bCs/>
          <w:color w:val="auto"/>
          <w:sz w:val="24"/>
          <w:szCs w:val="24"/>
          <w:highlight w:val="none"/>
          <w:lang w:eastAsia="zh-CN"/>
        </w:rPr>
        <w:t>加盖公章</w:t>
      </w:r>
      <w:r>
        <w:rPr>
          <w:rFonts w:hint="eastAsia" w:hAnsi="宋体" w:cs="宋体"/>
          <w:bCs/>
          <w:color w:val="auto"/>
          <w:sz w:val="24"/>
          <w:szCs w:val="24"/>
          <w:highlight w:val="none"/>
        </w:rPr>
        <w:t>）：</w:t>
      </w:r>
    </w:p>
    <w:p w14:paraId="58D41772">
      <w:pPr>
        <w:spacing w:line="440" w:lineRule="exact"/>
        <w:rPr>
          <w:rFonts w:ascii="宋体" w:hAnsi="宋体" w:cs="宋体"/>
          <w:bCs/>
          <w:color w:val="auto"/>
          <w:sz w:val="24"/>
          <w:highlight w:val="none"/>
        </w:rPr>
      </w:pPr>
      <w:r>
        <w:rPr>
          <w:rFonts w:hint="eastAsia" w:ascii="宋体" w:hAnsi="宋体" w:cs="宋体"/>
          <w:color w:val="auto"/>
          <w:sz w:val="24"/>
          <w:highlight w:val="none"/>
        </w:rPr>
        <w:t>法定代表人（签字或盖章）：</w:t>
      </w:r>
    </w:p>
    <w:p w14:paraId="435DAE60">
      <w:pPr>
        <w:widowControl/>
        <w:spacing w:line="440" w:lineRule="exact"/>
        <w:rPr>
          <w:rFonts w:ascii="宋体" w:hAnsi="宋体" w:cs="宋体"/>
          <w:bCs/>
          <w:color w:val="auto"/>
          <w:kern w:val="0"/>
          <w:sz w:val="24"/>
          <w:highlight w:val="none"/>
          <w:u w:val="single"/>
        </w:rPr>
      </w:pPr>
      <w:r>
        <w:rPr>
          <w:rFonts w:hint="eastAsia" w:ascii="宋体" w:hAnsi="宋体" w:cs="宋体"/>
          <w:bCs/>
          <w:color w:val="auto"/>
          <w:kern w:val="0"/>
          <w:sz w:val="24"/>
          <w:highlight w:val="none"/>
        </w:rPr>
        <w:t>日     期：</w:t>
      </w:r>
    </w:p>
    <w:p w14:paraId="5EF92C65">
      <w:pPr>
        <w:spacing w:line="440" w:lineRule="exact"/>
        <w:ind w:firstLine="480" w:firstLineChars="200"/>
        <w:rPr>
          <w:rFonts w:ascii="宋体" w:hAnsi="宋体" w:cs="宋体"/>
          <w:color w:val="auto"/>
          <w:sz w:val="24"/>
          <w:highlight w:val="none"/>
        </w:rPr>
      </w:pPr>
    </w:p>
    <w:p w14:paraId="7CB60F6A">
      <w:pPr>
        <w:pStyle w:val="9"/>
        <w:spacing w:after="0" w:line="440" w:lineRule="exact"/>
        <w:rPr>
          <w:rFonts w:ascii="宋体" w:hAnsi="宋体" w:cs="宋体"/>
          <w:color w:val="auto"/>
          <w:highlight w:val="none"/>
        </w:rPr>
      </w:pPr>
    </w:p>
    <w:p w14:paraId="38256FD6">
      <w:pPr>
        <w:jc w:val="center"/>
        <w:rPr>
          <w:rFonts w:hint="eastAsia" w:ascii="宋体" w:hAnsi="宋体" w:cs="宋体"/>
          <w:b/>
          <w:bCs/>
          <w:color w:val="auto"/>
          <w:sz w:val="32"/>
          <w:szCs w:val="32"/>
          <w:highlight w:val="none"/>
        </w:rPr>
      </w:pPr>
    </w:p>
    <w:p w14:paraId="6D214CDF">
      <w:pPr>
        <w:pStyle w:val="9"/>
        <w:rPr>
          <w:rFonts w:hint="eastAsia" w:ascii="宋体" w:hAnsi="宋体" w:cs="宋体"/>
          <w:b/>
          <w:bCs/>
          <w:color w:val="auto"/>
          <w:sz w:val="32"/>
          <w:szCs w:val="32"/>
          <w:highlight w:val="none"/>
        </w:rPr>
      </w:pPr>
    </w:p>
    <w:p w14:paraId="7F3A0DA8">
      <w:pPr>
        <w:pStyle w:val="10"/>
        <w:rPr>
          <w:rFonts w:hint="eastAsia"/>
          <w:color w:val="auto"/>
          <w:highlight w:val="none"/>
        </w:rPr>
      </w:pPr>
    </w:p>
    <w:p w14:paraId="639FD7AB">
      <w:pPr>
        <w:jc w:val="center"/>
        <w:rPr>
          <w:rFonts w:ascii="宋体" w:hAnsi="宋体" w:cs="宋体"/>
          <w:color w:val="auto"/>
          <w:highlight w:val="none"/>
        </w:rPr>
      </w:pPr>
      <w:r>
        <w:rPr>
          <w:rFonts w:hint="eastAsia" w:ascii="宋体" w:hAnsi="宋体" w:cs="宋体"/>
          <w:b/>
          <w:bCs/>
          <w:color w:val="auto"/>
          <w:sz w:val="32"/>
          <w:szCs w:val="32"/>
          <w:highlight w:val="none"/>
        </w:rPr>
        <w:t>三、前期介入费明细表</w:t>
      </w:r>
    </w:p>
    <w:tbl>
      <w:tblPr>
        <w:tblStyle w:val="22"/>
        <w:tblW w:w="8663" w:type="dxa"/>
        <w:jc w:val="center"/>
        <w:tblLayout w:type="autofit"/>
        <w:tblCellMar>
          <w:top w:w="0" w:type="dxa"/>
          <w:left w:w="108" w:type="dxa"/>
          <w:bottom w:w="0" w:type="dxa"/>
          <w:right w:w="108" w:type="dxa"/>
        </w:tblCellMar>
      </w:tblPr>
      <w:tblGrid>
        <w:gridCol w:w="695"/>
        <w:gridCol w:w="1304"/>
        <w:gridCol w:w="2386"/>
        <w:gridCol w:w="1392"/>
        <w:gridCol w:w="1365"/>
        <w:gridCol w:w="1521"/>
      </w:tblGrid>
      <w:tr w14:paraId="0E19F9E4">
        <w:tblPrEx>
          <w:tblCellMar>
            <w:top w:w="0" w:type="dxa"/>
            <w:left w:w="108" w:type="dxa"/>
            <w:bottom w:w="0" w:type="dxa"/>
            <w:right w:w="108" w:type="dxa"/>
          </w:tblCellMar>
        </w:tblPrEx>
        <w:trPr>
          <w:trHeight w:val="498" w:hRule="atLeast"/>
          <w:jc w:val="center"/>
        </w:trPr>
        <w:tc>
          <w:tcPr>
            <w:tcW w:w="695" w:type="dxa"/>
            <w:tcBorders>
              <w:top w:val="single" w:color="000000" w:sz="8" w:space="0"/>
              <w:left w:val="single" w:color="000000" w:sz="8" w:space="0"/>
              <w:bottom w:val="single" w:color="000000" w:sz="8" w:space="0"/>
              <w:right w:val="single" w:color="000000" w:sz="8" w:space="0"/>
            </w:tcBorders>
            <w:noWrap/>
            <w:vAlign w:val="center"/>
          </w:tcPr>
          <w:p w14:paraId="7FA1583B">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序号</w:t>
            </w:r>
          </w:p>
        </w:tc>
        <w:tc>
          <w:tcPr>
            <w:tcW w:w="1304" w:type="dxa"/>
            <w:tcBorders>
              <w:top w:val="single" w:color="000000" w:sz="8" w:space="0"/>
              <w:left w:val="nil"/>
              <w:bottom w:val="single" w:color="000000" w:sz="8" w:space="0"/>
              <w:right w:val="single" w:color="000000" w:sz="8" w:space="0"/>
            </w:tcBorders>
            <w:noWrap/>
            <w:vAlign w:val="center"/>
          </w:tcPr>
          <w:p w14:paraId="77BB94BD">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项目</w:t>
            </w:r>
          </w:p>
        </w:tc>
        <w:tc>
          <w:tcPr>
            <w:tcW w:w="2386" w:type="dxa"/>
            <w:tcBorders>
              <w:top w:val="single" w:color="000000" w:sz="8" w:space="0"/>
              <w:left w:val="nil"/>
              <w:bottom w:val="single" w:color="000000" w:sz="8" w:space="0"/>
              <w:right w:val="single" w:color="000000" w:sz="8" w:space="0"/>
            </w:tcBorders>
            <w:noWrap/>
            <w:vAlign w:val="center"/>
          </w:tcPr>
          <w:p w14:paraId="78F61D10">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测算依据及公式</w:t>
            </w:r>
          </w:p>
        </w:tc>
        <w:tc>
          <w:tcPr>
            <w:tcW w:w="1392" w:type="dxa"/>
            <w:tcBorders>
              <w:top w:val="single" w:color="000000" w:sz="8" w:space="0"/>
              <w:left w:val="nil"/>
              <w:bottom w:val="single" w:color="000000" w:sz="8" w:space="0"/>
              <w:right w:val="single" w:color="000000" w:sz="8" w:space="0"/>
            </w:tcBorders>
            <w:noWrap/>
            <w:vAlign w:val="center"/>
          </w:tcPr>
          <w:p w14:paraId="720782FF">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四个月费用（元）</w:t>
            </w:r>
          </w:p>
        </w:tc>
        <w:tc>
          <w:tcPr>
            <w:tcW w:w="1365" w:type="dxa"/>
            <w:tcBorders>
              <w:top w:val="single" w:color="000000" w:sz="8" w:space="0"/>
              <w:left w:val="nil"/>
              <w:bottom w:val="single" w:color="000000" w:sz="8" w:space="0"/>
              <w:right w:val="single" w:color="000000" w:sz="8" w:space="0"/>
            </w:tcBorders>
            <w:noWrap/>
            <w:vAlign w:val="center"/>
          </w:tcPr>
          <w:p w14:paraId="111EEA38">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一次性费用（元）</w:t>
            </w:r>
          </w:p>
        </w:tc>
        <w:tc>
          <w:tcPr>
            <w:tcW w:w="1521" w:type="dxa"/>
            <w:tcBorders>
              <w:top w:val="single" w:color="000000" w:sz="8" w:space="0"/>
              <w:left w:val="nil"/>
              <w:bottom w:val="single" w:color="000000" w:sz="8" w:space="0"/>
              <w:right w:val="single" w:color="000000" w:sz="8" w:space="0"/>
            </w:tcBorders>
            <w:noWrap/>
            <w:vAlign w:val="center"/>
          </w:tcPr>
          <w:p w14:paraId="6B9F7445">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备注</w:t>
            </w:r>
          </w:p>
        </w:tc>
      </w:tr>
      <w:tr w14:paraId="6BB9BB4D">
        <w:tblPrEx>
          <w:tblCellMar>
            <w:top w:w="0" w:type="dxa"/>
            <w:left w:w="108" w:type="dxa"/>
            <w:bottom w:w="0" w:type="dxa"/>
            <w:right w:w="108" w:type="dxa"/>
          </w:tblCellMar>
        </w:tblPrEx>
        <w:trPr>
          <w:trHeight w:val="498" w:hRule="atLeast"/>
          <w:jc w:val="center"/>
        </w:trPr>
        <w:tc>
          <w:tcPr>
            <w:tcW w:w="695" w:type="dxa"/>
            <w:tcBorders>
              <w:top w:val="nil"/>
              <w:left w:val="single" w:color="000000" w:sz="8" w:space="0"/>
              <w:bottom w:val="single" w:color="000000" w:sz="8" w:space="0"/>
              <w:right w:val="single" w:color="000000" w:sz="8" w:space="0"/>
            </w:tcBorders>
            <w:noWrap/>
            <w:vAlign w:val="center"/>
          </w:tcPr>
          <w:p w14:paraId="40F80589">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一</w:t>
            </w:r>
          </w:p>
        </w:tc>
        <w:tc>
          <w:tcPr>
            <w:tcW w:w="1304" w:type="dxa"/>
            <w:tcBorders>
              <w:top w:val="nil"/>
              <w:left w:val="nil"/>
              <w:bottom w:val="single" w:color="000000" w:sz="8" w:space="0"/>
              <w:right w:val="single" w:color="000000" w:sz="8" w:space="0"/>
            </w:tcBorders>
            <w:noWrap/>
            <w:vAlign w:val="center"/>
          </w:tcPr>
          <w:p w14:paraId="1D5B968B">
            <w:pPr>
              <w:widowControl/>
              <w:spacing w:line="440" w:lineRule="exac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工资</w:t>
            </w:r>
          </w:p>
        </w:tc>
        <w:tc>
          <w:tcPr>
            <w:tcW w:w="2386" w:type="dxa"/>
            <w:tcBorders>
              <w:top w:val="nil"/>
              <w:left w:val="nil"/>
              <w:bottom w:val="single" w:color="000000" w:sz="8" w:space="0"/>
              <w:right w:val="single" w:color="000000" w:sz="8" w:space="0"/>
            </w:tcBorders>
            <w:noWrap/>
            <w:vAlign w:val="center"/>
          </w:tcPr>
          <w:p w14:paraId="089D3E48">
            <w:pPr>
              <w:widowControl/>
              <w:spacing w:line="440" w:lineRule="exac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1+…+3+…</w:t>
            </w:r>
          </w:p>
        </w:tc>
        <w:tc>
          <w:tcPr>
            <w:tcW w:w="1392" w:type="dxa"/>
            <w:tcBorders>
              <w:top w:val="nil"/>
              <w:left w:val="nil"/>
              <w:bottom w:val="single" w:color="000000" w:sz="8" w:space="0"/>
              <w:right w:val="single" w:color="000000" w:sz="8" w:space="0"/>
            </w:tcBorders>
            <w:noWrap/>
            <w:vAlign w:val="center"/>
          </w:tcPr>
          <w:p w14:paraId="771FEB6F">
            <w:pPr>
              <w:widowControl/>
              <w:spacing w:line="440" w:lineRule="exact"/>
              <w:textAlignment w:val="center"/>
              <w:rPr>
                <w:rFonts w:ascii="宋体" w:hAnsi="宋体" w:cs="宋体"/>
                <w:color w:val="auto"/>
                <w:szCs w:val="21"/>
                <w:highlight w:val="none"/>
              </w:rPr>
            </w:pPr>
          </w:p>
        </w:tc>
        <w:tc>
          <w:tcPr>
            <w:tcW w:w="1365" w:type="dxa"/>
            <w:tcBorders>
              <w:top w:val="nil"/>
              <w:left w:val="nil"/>
              <w:bottom w:val="single" w:color="000000" w:sz="8" w:space="0"/>
              <w:right w:val="single" w:color="000000" w:sz="8" w:space="0"/>
            </w:tcBorders>
            <w:noWrap/>
            <w:vAlign w:val="center"/>
          </w:tcPr>
          <w:p w14:paraId="511A6CF6">
            <w:pPr>
              <w:widowControl/>
              <w:spacing w:line="440" w:lineRule="exact"/>
              <w:textAlignment w:val="center"/>
              <w:rPr>
                <w:rFonts w:ascii="宋体" w:hAnsi="宋体" w:cs="宋体"/>
                <w:color w:val="auto"/>
                <w:szCs w:val="21"/>
                <w:highlight w:val="none"/>
              </w:rPr>
            </w:pPr>
          </w:p>
        </w:tc>
        <w:tc>
          <w:tcPr>
            <w:tcW w:w="1521" w:type="dxa"/>
            <w:tcBorders>
              <w:top w:val="nil"/>
              <w:left w:val="nil"/>
              <w:bottom w:val="single" w:color="000000" w:sz="8" w:space="0"/>
              <w:right w:val="single" w:color="000000" w:sz="8" w:space="0"/>
            </w:tcBorders>
            <w:noWrap/>
            <w:vAlign w:val="center"/>
          </w:tcPr>
          <w:p w14:paraId="3217E984">
            <w:pPr>
              <w:spacing w:line="440" w:lineRule="exact"/>
              <w:rPr>
                <w:rFonts w:ascii="宋体" w:hAnsi="宋体" w:cs="宋体"/>
                <w:color w:val="auto"/>
                <w:szCs w:val="21"/>
                <w:highlight w:val="none"/>
              </w:rPr>
            </w:pPr>
            <w:r>
              <w:rPr>
                <w:rFonts w:hint="eastAsia" w:ascii="宋体" w:hAnsi="宋体" w:cs="宋体"/>
                <w:color w:val="auto"/>
                <w:kern w:val="0"/>
                <w:szCs w:val="21"/>
                <w:highlight w:val="none"/>
              </w:rPr>
              <w:t>四个月费用</w:t>
            </w:r>
          </w:p>
        </w:tc>
      </w:tr>
      <w:tr w14:paraId="0A18670D">
        <w:tblPrEx>
          <w:tblCellMar>
            <w:top w:w="0" w:type="dxa"/>
            <w:left w:w="108" w:type="dxa"/>
            <w:bottom w:w="0" w:type="dxa"/>
            <w:right w:w="108" w:type="dxa"/>
          </w:tblCellMar>
        </w:tblPrEx>
        <w:trPr>
          <w:trHeight w:val="498" w:hRule="atLeast"/>
          <w:jc w:val="center"/>
        </w:trPr>
        <w:tc>
          <w:tcPr>
            <w:tcW w:w="695" w:type="dxa"/>
            <w:vMerge w:val="restart"/>
            <w:tcBorders>
              <w:top w:val="nil"/>
              <w:left w:val="single" w:color="000000" w:sz="8" w:space="0"/>
              <w:right w:val="single" w:color="000000" w:sz="8" w:space="0"/>
            </w:tcBorders>
            <w:noWrap/>
            <w:vAlign w:val="center"/>
          </w:tcPr>
          <w:p w14:paraId="4F1C9063">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其中</w:t>
            </w:r>
          </w:p>
        </w:tc>
        <w:tc>
          <w:tcPr>
            <w:tcW w:w="1304" w:type="dxa"/>
            <w:tcBorders>
              <w:top w:val="nil"/>
              <w:left w:val="nil"/>
              <w:bottom w:val="single" w:color="000000" w:sz="8" w:space="0"/>
              <w:right w:val="single" w:color="000000" w:sz="8" w:space="0"/>
            </w:tcBorders>
            <w:noWrap/>
            <w:vAlign w:val="center"/>
          </w:tcPr>
          <w:p w14:paraId="5AE456B3">
            <w:pPr>
              <w:widowControl/>
              <w:spacing w:line="440" w:lineRule="exact"/>
              <w:textAlignment w:val="center"/>
              <w:rPr>
                <w:rFonts w:ascii="宋体" w:hAnsi="宋体" w:cs="宋体"/>
                <w:color w:val="auto"/>
                <w:szCs w:val="21"/>
                <w:highlight w:val="none"/>
              </w:rPr>
            </w:pPr>
            <w:r>
              <w:rPr>
                <w:rFonts w:hint="eastAsia" w:ascii="宋体" w:hAnsi="宋体" w:cs="宋体"/>
                <w:color w:val="auto"/>
                <w:kern w:val="0"/>
                <w:szCs w:val="21"/>
                <w:highlight w:val="none"/>
              </w:rPr>
              <w:t>项目负责人</w:t>
            </w:r>
          </w:p>
        </w:tc>
        <w:tc>
          <w:tcPr>
            <w:tcW w:w="2386" w:type="dxa"/>
            <w:tcBorders>
              <w:top w:val="nil"/>
              <w:left w:val="nil"/>
              <w:bottom w:val="single" w:color="000000" w:sz="8" w:space="0"/>
              <w:right w:val="single" w:color="000000" w:sz="8" w:space="0"/>
            </w:tcBorders>
            <w:noWrap/>
            <w:vAlign w:val="center"/>
          </w:tcPr>
          <w:p w14:paraId="3233C9B1">
            <w:pPr>
              <w:widowControl/>
              <w:spacing w:line="440" w:lineRule="exact"/>
              <w:textAlignment w:val="center"/>
              <w:rPr>
                <w:rFonts w:ascii="宋体" w:hAnsi="宋体" w:cs="宋体"/>
                <w:color w:val="auto"/>
                <w:szCs w:val="21"/>
                <w:highlight w:val="none"/>
                <w:u w:val="single"/>
              </w:rPr>
            </w:pPr>
            <w:r>
              <w:rPr>
                <w:rFonts w:hint="eastAsia" w:ascii="宋体" w:hAnsi="宋体" w:cs="宋体"/>
                <w:color w:val="auto"/>
                <w:kern w:val="0"/>
                <w:szCs w:val="21"/>
                <w:highlight w:val="none"/>
                <w:u w:val="single"/>
              </w:rPr>
              <w:t xml:space="preserve">       元/月×  人</w:t>
            </w:r>
          </w:p>
        </w:tc>
        <w:tc>
          <w:tcPr>
            <w:tcW w:w="1392" w:type="dxa"/>
            <w:tcBorders>
              <w:top w:val="nil"/>
              <w:left w:val="nil"/>
              <w:bottom w:val="single" w:color="000000" w:sz="8" w:space="0"/>
              <w:right w:val="single" w:color="000000" w:sz="8" w:space="0"/>
            </w:tcBorders>
            <w:noWrap/>
            <w:vAlign w:val="center"/>
          </w:tcPr>
          <w:p w14:paraId="06B32D19">
            <w:pPr>
              <w:widowControl/>
              <w:spacing w:line="440" w:lineRule="exact"/>
              <w:textAlignment w:val="center"/>
              <w:rPr>
                <w:rFonts w:ascii="宋体" w:hAnsi="宋体" w:cs="宋体"/>
                <w:color w:val="auto"/>
                <w:szCs w:val="21"/>
                <w:highlight w:val="none"/>
              </w:rPr>
            </w:pPr>
          </w:p>
        </w:tc>
        <w:tc>
          <w:tcPr>
            <w:tcW w:w="1365" w:type="dxa"/>
            <w:tcBorders>
              <w:top w:val="nil"/>
              <w:left w:val="nil"/>
              <w:bottom w:val="single" w:color="000000" w:sz="8" w:space="0"/>
              <w:right w:val="single" w:color="000000" w:sz="8" w:space="0"/>
            </w:tcBorders>
            <w:noWrap/>
            <w:vAlign w:val="center"/>
          </w:tcPr>
          <w:p w14:paraId="03929024">
            <w:pPr>
              <w:widowControl/>
              <w:spacing w:line="440" w:lineRule="exact"/>
              <w:textAlignment w:val="center"/>
              <w:rPr>
                <w:rFonts w:ascii="宋体" w:hAnsi="宋体" w:cs="宋体"/>
                <w:color w:val="auto"/>
                <w:szCs w:val="21"/>
                <w:highlight w:val="none"/>
              </w:rPr>
            </w:pPr>
          </w:p>
        </w:tc>
        <w:tc>
          <w:tcPr>
            <w:tcW w:w="1521" w:type="dxa"/>
            <w:tcBorders>
              <w:top w:val="nil"/>
              <w:left w:val="nil"/>
              <w:bottom w:val="single" w:color="000000" w:sz="8" w:space="0"/>
              <w:right w:val="single" w:color="000000" w:sz="8" w:space="0"/>
            </w:tcBorders>
            <w:noWrap/>
            <w:vAlign w:val="center"/>
          </w:tcPr>
          <w:p w14:paraId="2DDB34DE">
            <w:pPr>
              <w:spacing w:line="440" w:lineRule="exact"/>
              <w:rPr>
                <w:rFonts w:ascii="宋体" w:hAnsi="宋体" w:cs="宋体"/>
                <w:color w:val="auto"/>
                <w:szCs w:val="21"/>
                <w:highlight w:val="none"/>
              </w:rPr>
            </w:pPr>
            <w:r>
              <w:rPr>
                <w:rFonts w:hint="eastAsia" w:ascii="宋体" w:hAnsi="宋体" w:cs="宋体"/>
                <w:color w:val="auto"/>
                <w:kern w:val="0"/>
                <w:szCs w:val="21"/>
                <w:highlight w:val="none"/>
              </w:rPr>
              <w:t>四个月费用</w:t>
            </w:r>
          </w:p>
        </w:tc>
      </w:tr>
      <w:tr w14:paraId="4DA45E22">
        <w:tblPrEx>
          <w:tblCellMar>
            <w:top w:w="0" w:type="dxa"/>
            <w:left w:w="108" w:type="dxa"/>
            <w:bottom w:w="0" w:type="dxa"/>
            <w:right w:w="108" w:type="dxa"/>
          </w:tblCellMar>
        </w:tblPrEx>
        <w:trPr>
          <w:trHeight w:val="498" w:hRule="atLeast"/>
          <w:jc w:val="center"/>
        </w:trPr>
        <w:tc>
          <w:tcPr>
            <w:tcW w:w="695" w:type="dxa"/>
            <w:vMerge w:val="continue"/>
            <w:tcBorders>
              <w:left w:val="single" w:color="000000" w:sz="8" w:space="0"/>
              <w:right w:val="single" w:color="000000" w:sz="8" w:space="0"/>
            </w:tcBorders>
            <w:noWrap/>
            <w:vAlign w:val="center"/>
          </w:tcPr>
          <w:p w14:paraId="204E389D">
            <w:pPr>
              <w:spacing w:line="440" w:lineRule="exact"/>
              <w:jc w:val="center"/>
              <w:rPr>
                <w:rFonts w:ascii="宋体" w:hAnsi="宋体" w:cs="宋体"/>
                <w:color w:val="auto"/>
                <w:szCs w:val="21"/>
                <w:highlight w:val="none"/>
              </w:rPr>
            </w:pPr>
          </w:p>
        </w:tc>
        <w:tc>
          <w:tcPr>
            <w:tcW w:w="1304" w:type="dxa"/>
            <w:tcBorders>
              <w:top w:val="nil"/>
              <w:left w:val="nil"/>
              <w:bottom w:val="single" w:color="000000" w:sz="8" w:space="0"/>
              <w:right w:val="single" w:color="000000" w:sz="8" w:space="0"/>
            </w:tcBorders>
            <w:noWrap/>
            <w:vAlign w:val="center"/>
          </w:tcPr>
          <w:p w14:paraId="125E29A4">
            <w:pPr>
              <w:widowControl/>
              <w:spacing w:line="440" w:lineRule="exact"/>
              <w:textAlignment w:val="center"/>
              <w:rPr>
                <w:rFonts w:ascii="宋体" w:hAnsi="宋体" w:cs="宋体"/>
                <w:color w:val="auto"/>
                <w:szCs w:val="21"/>
                <w:highlight w:val="none"/>
              </w:rPr>
            </w:pPr>
            <w:r>
              <w:rPr>
                <w:rFonts w:hint="eastAsia" w:ascii="宋体" w:hAnsi="宋体" w:cs="宋体"/>
                <w:color w:val="auto"/>
                <w:kern w:val="0"/>
                <w:szCs w:val="21"/>
                <w:highlight w:val="none"/>
              </w:rPr>
              <w:t>工程人员</w:t>
            </w:r>
          </w:p>
        </w:tc>
        <w:tc>
          <w:tcPr>
            <w:tcW w:w="2386" w:type="dxa"/>
            <w:tcBorders>
              <w:top w:val="nil"/>
              <w:left w:val="nil"/>
              <w:bottom w:val="single" w:color="000000" w:sz="8" w:space="0"/>
              <w:right w:val="single" w:color="000000" w:sz="8" w:space="0"/>
            </w:tcBorders>
            <w:noWrap/>
            <w:vAlign w:val="center"/>
          </w:tcPr>
          <w:p w14:paraId="7987C9B7">
            <w:pPr>
              <w:widowControl/>
              <w:spacing w:line="440" w:lineRule="exact"/>
              <w:textAlignment w:val="center"/>
              <w:rPr>
                <w:rFonts w:ascii="宋体" w:hAnsi="宋体" w:cs="宋体"/>
                <w:color w:val="auto"/>
                <w:szCs w:val="21"/>
                <w:highlight w:val="none"/>
                <w:u w:val="single"/>
              </w:rPr>
            </w:pPr>
            <w:r>
              <w:rPr>
                <w:rFonts w:hint="eastAsia" w:ascii="宋体" w:hAnsi="宋体" w:cs="宋体"/>
                <w:color w:val="auto"/>
                <w:kern w:val="0"/>
                <w:szCs w:val="21"/>
                <w:highlight w:val="none"/>
                <w:u w:val="single"/>
              </w:rPr>
              <w:t xml:space="preserve">       元/月×  人</w:t>
            </w:r>
          </w:p>
        </w:tc>
        <w:tc>
          <w:tcPr>
            <w:tcW w:w="1392" w:type="dxa"/>
            <w:tcBorders>
              <w:top w:val="nil"/>
              <w:left w:val="nil"/>
              <w:bottom w:val="single" w:color="000000" w:sz="8" w:space="0"/>
              <w:right w:val="single" w:color="000000" w:sz="8" w:space="0"/>
            </w:tcBorders>
            <w:noWrap/>
            <w:vAlign w:val="center"/>
          </w:tcPr>
          <w:p w14:paraId="10818300">
            <w:pPr>
              <w:widowControl/>
              <w:spacing w:line="440" w:lineRule="exact"/>
              <w:textAlignment w:val="center"/>
              <w:rPr>
                <w:rFonts w:ascii="宋体" w:hAnsi="宋体" w:cs="宋体"/>
                <w:color w:val="auto"/>
                <w:szCs w:val="21"/>
                <w:highlight w:val="none"/>
              </w:rPr>
            </w:pPr>
          </w:p>
        </w:tc>
        <w:tc>
          <w:tcPr>
            <w:tcW w:w="1365" w:type="dxa"/>
            <w:tcBorders>
              <w:top w:val="nil"/>
              <w:left w:val="nil"/>
              <w:bottom w:val="single" w:color="000000" w:sz="8" w:space="0"/>
              <w:right w:val="single" w:color="000000" w:sz="8" w:space="0"/>
            </w:tcBorders>
            <w:noWrap/>
            <w:vAlign w:val="center"/>
          </w:tcPr>
          <w:p w14:paraId="0E1FFE77">
            <w:pPr>
              <w:widowControl/>
              <w:spacing w:line="440" w:lineRule="exact"/>
              <w:textAlignment w:val="center"/>
              <w:rPr>
                <w:rFonts w:ascii="宋体" w:hAnsi="宋体" w:cs="宋体"/>
                <w:color w:val="auto"/>
                <w:szCs w:val="21"/>
                <w:highlight w:val="none"/>
              </w:rPr>
            </w:pPr>
          </w:p>
        </w:tc>
        <w:tc>
          <w:tcPr>
            <w:tcW w:w="1521" w:type="dxa"/>
            <w:tcBorders>
              <w:top w:val="nil"/>
              <w:left w:val="nil"/>
              <w:bottom w:val="single" w:color="000000" w:sz="8" w:space="0"/>
              <w:right w:val="single" w:color="000000" w:sz="8" w:space="0"/>
            </w:tcBorders>
            <w:noWrap/>
            <w:vAlign w:val="center"/>
          </w:tcPr>
          <w:p w14:paraId="06634930">
            <w:pPr>
              <w:spacing w:line="440" w:lineRule="exact"/>
              <w:rPr>
                <w:rFonts w:ascii="宋体" w:hAnsi="宋体" w:cs="宋体"/>
                <w:color w:val="auto"/>
                <w:szCs w:val="21"/>
                <w:highlight w:val="none"/>
              </w:rPr>
            </w:pPr>
            <w:r>
              <w:rPr>
                <w:rFonts w:hint="eastAsia" w:ascii="宋体" w:hAnsi="宋体" w:cs="宋体"/>
                <w:color w:val="auto"/>
                <w:kern w:val="0"/>
                <w:szCs w:val="21"/>
                <w:highlight w:val="none"/>
              </w:rPr>
              <w:t>四个月费用</w:t>
            </w:r>
          </w:p>
        </w:tc>
      </w:tr>
      <w:tr w14:paraId="4828AE4F">
        <w:tblPrEx>
          <w:tblCellMar>
            <w:top w:w="0" w:type="dxa"/>
            <w:left w:w="108" w:type="dxa"/>
            <w:bottom w:w="0" w:type="dxa"/>
            <w:right w:w="108" w:type="dxa"/>
          </w:tblCellMar>
        </w:tblPrEx>
        <w:trPr>
          <w:trHeight w:val="498" w:hRule="atLeast"/>
          <w:jc w:val="center"/>
        </w:trPr>
        <w:tc>
          <w:tcPr>
            <w:tcW w:w="695" w:type="dxa"/>
            <w:vMerge w:val="continue"/>
            <w:tcBorders>
              <w:left w:val="single" w:color="000000" w:sz="8" w:space="0"/>
              <w:right w:val="single" w:color="000000" w:sz="8" w:space="0"/>
            </w:tcBorders>
            <w:noWrap/>
            <w:vAlign w:val="center"/>
          </w:tcPr>
          <w:p w14:paraId="5DD497AE">
            <w:pPr>
              <w:spacing w:line="440" w:lineRule="exact"/>
              <w:jc w:val="center"/>
              <w:rPr>
                <w:rFonts w:ascii="宋体" w:hAnsi="宋体" w:cs="宋体"/>
                <w:color w:val="auto"/>
                <w:szCs w:val="21"/>
                <w:highlight w:val="none"/>
              </w:rPr>
            </w:pPr>
          </w:p>
        </w:tc>
        <w:tc>
          <w:tcPr>
            <w:tcW w:w="1304" w:type="dxa"/>
            <w:tcBorders>
              <w:top w:val="single" w:color="auto" w:sz="4" w:space="0"/>
              <w:left w:val="nil"/>
              <w:bottom w:val="single" w:color="auto" w:sz="4" w:space="0"/>
              <w:right w:val="single" w:color="000000" w:sz="8" w:space="0"/>
            </w:tcBorders>
            <w:noWrap/>
            <w:vAlign w:val="center"/>
          </w:tcPr>
          <w:p w14:paraId="750903F6">
            <w:pPr>
              <w:widowControl/>
              <w:spacing w:line="440" w:lineRule="exact"/>
              <w:textAlignment w:val="center"/>
              <w:rPr>
                <w:rFonts w:ascii="宋体" w:hAnsi="宋体" w:cs="宋体"/>
                <w:color w:val="auto"/>
                <w:szCs w:val="21"/>
                <w:highlight w:val="none"/>
              </w:rPr>
            </w:pPr>
            <w:r>
              <w:rPr>
                <w:rFonts w:hint="eastAsia" w:ascii="宋体" w:hAnsi="宋体" w:cs="宋体"/>
                <w:color w:val="auto"/>
                <w:kern w:val="0"/>
                <w:szCs w:val="21"/>
                <w:highlight w:val="none"/>
              </w:rPr>
              <w:t>安保员</w:t>
            </w:r>
          </w:p>
        </w:tc>
        <w:tc>
          <w:tcPr>
            <w:tcW w:w="2386" w:type="dxa"/>
            <w:tcBorders>
              <w:top w:val="nil"/>
              <w:left w:val="nil"/>
              <w:bottom w:val="single" w:color="000000" w:sz="8" w:space="0"/>
              <w:right w:val="single" w:color="000000" w:sz="8" w:space="0"/>
            </w:tcBorders>
            <w:noWrap/>
            <w:vAlign w:val="center"/>
          </w:tcPr>
          <w:p w14:paraId="19B6FDAB">
            <w:pPr>
              <w:widowControl/>
              <w:spacing w:line="440" w:lineRule="exact"/>
              <w:textAlignment w:val="center"/>
              <w:rPr>
                <w:rFonts w:ascii="宋体" w:hAnsi="宋体" w:cs="宋体"/>
                <w:color w:val="auto"/>
                <w:szCs w:val="21"/>
                <w:highlight w:val="none"/>
                <w:u w:val="single"/>
              </w:rPr>
            </w:pPr>
            <w:r>
              <w:rPr>
                <w:rFonts w:hint="eastAsia" w:ascii="宋体" w:hAnsi="宋体" w:cs="宋体"/>
                <w:color w:val="auto"/>
                <w:kern w:val="0"/>
                <w:szCs w:val="21"/>
                <w:highlight w:val="none"/>
                <w:u w:val="single"/>
              </w:rPr>
              <w:t xml:space="preserve">       元/月×  人</w:t>
            </w:r>
          </w:p>
        </w:tc>
        <w:tc>
          <w:tcPr>
            <w:tcW w:w="1392" w:type="dxa"/>
            <w:tcBorders>
              <w:top w:val="nil"/>
              <w:left w:val="nil"/>
              <w:bottom w:val="single" w:color="000000" w:sz="8" w:space="0"/>
              <w:right w:val="single" w:color="000000" w:sz="8" w:space="0"/>
            </w:tcBorders>
            <w:noWrap/>
            <w:vAlign w:val="center"/>
          </w:tcPr>
          <w:p w14:paraId="26DD8122">
            <w:pPr>
              <w:widowControl/>
              <w:spacing w:line="440" w:lineRule="exact"/>
              <w:textAlignment w:val="center"/>
              <w:rPr>
                <w:rFonts w:ascii="宋体" w:hAnsi="宋体" w:cs="宋体"/>
                <w:color w:val="auto"/>
                <w:szCs w:val="21"/>
                <w:highlight w:val="none"/>
              </w:rPr>
            </w:pPr>
          </w:p>
        </w:tc>
        <w:tc>
          <w:tcPr>
            <w:tcW w:w="1365" w:type="dxa"/>
            <w:tcBorders>
              <w:top w:val="nil"/>
              <w:left w:val="nil"/>
              <w:bottom w:val="single" w:color="000000" w:sz="8" w:space="0"/>
              <w:right w:val="single" w:color="000000" w:sz="8" w:space="0"/>
            </w:tcBorders>
            <w:noWrap/>
            <w:vAlign w:val="center"/>
          </w:tcPr>
          <w:p w14:paraId="2DFEADDF">
            <w:pPr>
              <w:widowControl/>
              <w:spacing w:line="440" w:lineRule="exact"/>
              <w:textAlignment w:val="center"/>
              <w:rPr>
                <w:rFonts w:ascii="宋体" w:hAnsi="宋体" w:cs="宋体"/>
                <w:color w:val="auto"/>
                <w:szCs w:val="21"/>
                <w:highlight w:val="none"/>
              </w:rPr>
            </w:pPr>
          </w:p>
        </w:tc>
        <w:tc>
          <w:tcPr>
            <w:tcW w:w="1521" w:type="dxa"/>
            <w:tcBorders>
              <w:top w:val="nil"/>
              <w:left w:val="nil"/>
              <w:bottom w:val="single" w:color="000000" w:sz="8" w:space="0"/>
              <w:right w:val="single" w:color="000000" w:sz="8" w:space="0"/>
            </w:tcBorders>
            <w:noWrap/>
            <w:vAlign w:val="center"/>
          </w:tcPr>
          <w:p w14:paraId="0FC8EE54">
            <w:pPr>
              <w:spacing w:line="440" w:lineRule="exact"/>
              <w:rPr>
                <w:rFonts w:ascii="宋体" w:hAnsi="宋体" w:cs="宋体"/>
                <w:color w:val="auto"/>
                <w:szCs w:val="21"/>
                <w:highlight w:val="none"/>
              </w:rPr>
            </w:pPr>
            <w:r>
              <w:rPr>
                <w:rFonts w:hint="eastAsia" w:ascii="宋体" w:hAnsi="宋体" w:cs="宋体"/>
                <w:color w:val="auto"/>
                <w:kern w:val="0"/>
                <w:szCs w:val="21"/>
                <w:highlight w:val="none"/>
              </w:rPr>
              <w:t>四个月费用</w:t>
            </w:r>
          </w:p>
        </w:tc>
      </w:tr>
      <w:tr w14:paraId="4E73CA93">
        <w:tblPrEx>
          <w:tblCellMar>
            <w:top w:w="0" w:type="dxa"/>
            <w:left w:w="108" w:type="dxa"/>
            <w:bottom w:w="0" w:type="dxa"/>
            <w:right w:w="108" w:type="dxa"/>
          </w:tblCellMar>
        </w:tblPrEx>
        <w:trPr>
          <w:trHeight w:val="498" w:hRule="atLeast"/>
          <w:jc w:val="center"/>
        </w:trPr>
        <w:tc>
          <w:tcPr>
            <w:tcW w:w="695" w:type="dxa"/>
            <w:vMerge w:val="continue"/>
            <w:tcBorders>
              <w:left w:val="single" w:color="000000" w:sz="8" w:space="0"/>
              <w:bottom w:val="single" w:color="auto" w:sz="4" w:space="0"/>
              <w:right w:val="single" w:color="000000" w:sz="8" w:space="0"/>
            </w:tcBorders>
            <w:noWrap/>
            <w:vAlign w:val="center"/>
          </w:tcPr>
          <w:p w14:paraId="4CAC5411">
            <w:pPr>
              <w:spacing w:line="440" w:lineRule="exact"/>
              <w:jc w:val="center"/>
              <w:rPr>
                <w:rFonts w:ascii="宋体" w:hAnsi="宋体" w:cs="宋体"/>
                <w:color w:val="auto"/>
                <w:szCs w:val="21"/>
                <w:highlight w:val="none"/>
              </w:rPr>
            </w:pPr>
          </w:p>
        </w:tc>
        <w:tc>
          <w:tcPr>
            <w:tcW w:w="1304" w:type="dxa"/>
            <w:tcBorders>
              <w:top w:val="single" w:color="auto" w:sz="4" w:space="0"/>
              <w:left w:val="nil"/>
              <w:bottom w:val="single" w:color="auto" w:sz="4" w:space="0"/>
              <w:right w:val="single" w:color="000000" w:sz="8" w:space="0"/>
            </w:tcBorders>
            <w:noWrap/>
            <w:vAlign w:val="center"/>
          </w:tcPr>
          <w:p w14:paraId="7ED37EA9">
            <w:pPr>
              <w:widowControl/>
              <w:spacing w:line="440" w:lineRule="exac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386" w:type="dxa"/>
            <w:tcBorders>
              <w:top w:val="nil"/>
              <w:left w:val="nil"/>
              <w:bottom w:val="single" w:color="000000" w:sz="8" w:space="0"/>
              <w:right w:val="single" w:color="000000" w:sz="8" w:space="0"/>
            </w:tcBorders>
            <w:noWrap/>
            <w:vAlign w:val="center"/>
          </w:tcPr>
          <w:p w14:paraId="4A4BACAC">
            <w:pPr>
              <w:widowControl/>
              <w:spacing w:line="440" w:lineRule="exact"/>
              <w:textAlignment w:val="center"/>
              <w:rPr>
                <w:rFonts w:ascii="宋体" w:hAnsi="宋体" w:cs="宋体"/>
                <w:color w:val="auto"/>
                <w:kern w:val="0"/>
                <w:szCs w:val="21"/>
                <w:highlight w:val="none"/>
                <w:u w:val="single"/>
              </w:rPr>
            </w:pPr>
            <w:r>
              <w:rPr>
                <w:rFonts w:hint="eastAsia" w:ascii="宋体" w:hAnsi="宋体" w:cs="宋体"/>
                <w:color w:val="auto"/>
                <w:kern w:val="0"/>
                <w:szCs w:val="21"/>
                <w:highlight w:val="none"/>
                <w:u w:val="single"/>
              </w:rPr>
              <w:t xml:space="preserve">       元/月×  人</w:t>
            </w:r>
          </w:p>
        </w:tc>
        <w:tc>
          <w:tcPr>
            <w:tcW w:w="1392" w:type="dxa"/>
            <w:tcBorders>
              <w:top w:val="nil"/>
              <w:left w:val="nil"/>
              <w:bottom w:val="single" w:color="000000" w:sz="8" w:space="0"/>
              <w:right w:val="single" w:color="000000" w:sz="8" w:space="0"/>
            </w:tcBorders>
            <w:noWrap/>
            <w:vAlign w:val="center"/>
          </w:tcPr>
          <w:p w14:paraId="42012F1F">
            <w:pPr>
              <w:widowControl/>
              <w:spacing w:line="440" w:lineRule="exact"/>
              <w:textAlignment w:val="center"/>
              <w:rPr>
                <w:rFonts w:ascii="宋体" w:hAnsi="宋体" w:cs="宋体"/>
                <w:color w:val="auto"/>
                <w:szCs w:val="21"/>
                <w:highlight w:val="none"/>
              </w:rPr>
            </w:pPr>
          </w:p>
        </w:tc>
        <w:tc>
          <w:tcPr>
            <w:tcW w:w="1365" w:type="dxa"/>
            <w:tcBorders>
              <w:top w:val="nil"/>
              <w:left w:val="nil"/>
              <w:bottom w:val="single" w:color="000000" w:sz="8" w:space="0"/>
              <w:right w:val="single" w:color="000000" w:sz="8" w:space="0"/>
            </w:tcBorders>
            <w:noWrap/>
            <w:vAlign w:val="center"/>
          </w:tcPr>
          <w:p w14:paraId="6F0FFB80">
            <w:pPr>
              <w:widowControl/>
              <w:spacing w:line="440" w:lineRule="exact"/>
              <w:textAlignment w:val="center"/>
              <w:rPr>
                <w:rFonts w:ascii="宋体" w:hAnsi="宋体" w:cs="宋体"/>
                <w:color w:val="auto"/>
                <w:szCs w:val="21"/>
                <w:highlight w:val="none"/>
              </w:rPr>
            </w:pPr>
          </w:p>
        </w:tc>
        <w:tc>
          <w:tcPr>
            <w:tcW w:w="1521" w:type="dxa"/>
            <w:tcBorders>
              <w:top w:val="nil"/>
              <w:left w:val="nil"/>
              <w:bottom w:val="single" w:color="000000" w:sz="8" w:space="0"/>
              <w:right w:val="single" w:color="000000" w:sz="8" w:space="0"/>
            </w:tcBorders>
            <w:noWrap/>
            <w:vAlign w:val="center"/>
          </w:tcPr>
          <w:p w14:paraId="23576B74">
            <w:pPr>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四个月费用</w:t>
            </w:r>
          </w:p>
        </w:tc>
      </w:tr>
      <w:tr w14:paraId="50797BD3">
        <w:tblPrEx>
          <w:tblCellMar>
            <w:top w:w="0" w:type="dxa"/>
            <w:left w:w="108" w:type="dxa"/>
            <w:bottom w:w="0" w:type="dxa"/>
            <w:right w:w="108" w:type="dxa"/>
          </w:tblCellMar>
        </w:tblPrEx>
        <w:trPr>
          <w:trHeight w:val="498" w:hRule="atLeast"/>
          <w:jc w:val="center"/>
        </w:trPr>
        <w:tc>
          <w:tcPr>
            <w:tcW w:w="695" w:type="dxa"/>
            <w:tcBorders>
              <w:top w:val="nil"/>
              <w:left w:val="single" w:color="000000" w:sz="8" w:space="0"/>
              <w:bottom w:val="single" w:color="000000" w:sz="8" w:space="0"/>
              <w:right w:val="single" w:color="000000" w:sz="8" w:space="0"/>
            </w:tcBorders>
            <w:noWrap/>
            <w:vAlign w:val="center"/>
          </w:tcPr>
          <w:p w14:paraId="6FD65F5E">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二</w:t>
            </w:r>
          </w:p>
        </w:tc>
        <w:tc>
          <w:tcPr>
            <w:tcW w:w="1304" w:type="dxa"/>
            <w:tcBorders>
              <w:top w:val="nil"/>
              <w:left w:val="nil"/>
              <w:bottom w:val="single" w:color="000000" w:sz="8" w:space="0"/>
              <w:right w:val="single" w:color="000000" w:sz="8" w:space="0"/>
            </w:tcBorders>
            <w:noWrap/>
            <w:vAlign w:val="center"/>
          </w:tcPr>
          <w:p w14:paraId="783F7A32">
            <w:pPr>
              <w:widowControl/>
              <w:spacing w:line="440" w:lineRule="exac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福利、津贴</w:t>
            </w:r>
          </w:p>
        </w:tc>
        <w:tc>
          <w:tcPr>
            <w:tcW w:w="2386" w:type="dxa"/>
            <w:tcBorders>
              <w:top w:val="nil"/>
              <w:left w:val="nil"/>
              <w:bottom w:val="single" w:color="000000" w:sz="8" w:space="0"/>
              <w:right w:val="single" w:color="000000" w:sz="8" w:space="0"/>
            </w:tcBorders>
            <w:noWrap/>
            <w:vAlign w:val="center"/>
          </w:tcPr>
          <w:p w14:paraId="01688E82">
            <w:pPr>
              <w:widowControl/>
              <w:spacing w:line="440" w:lineRule="exac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一×%</w:t>
            </w:r>
          </w:p>
        </w:tc>
        <w:tc>
          <w:tcPr>
            <w:tcW w:w="1392" w:type="dxa"/>
            <w:tcBorders>
              <w:top w:val="nil"/>
              <w:left w:val="nil"/>
              <w:bottom w:val="single" w:color="000000" w:sz="8" w:space="0"/>
              <w:right w:val="single" w:color="000000" w:sz="8" w:space="0"/>
            </w:tcBorders>
            <w:noWrap/>
            <w:vAlign w:val="center"/>
          </w:tcPr>
          <w:p w14:paraId="3B0DE29E">
            <w:pPr>
              <w:widowControl/>
              <w:spacing w:line="440" w:lineRule="exact"/>
              <w:textAlignment w:val="center"/>
              <w:rPr>
                <w:rFonts w:ascii="宋体" w:hAnsi="宋体" w:cs="宋体"/>
                <w:color w:val="auto"/>
                <w:szCs w:val="21"/>
                <w:highlight w:val="none"/>
              </w:rPr>
            </w:pPr>
          </w:p>
        </w:tc>
        <w:tc>
          <w:tcPr>
            <w:tcW w:w="1365" w:type="dxa"/>
            <w:tcBorders>
              <w:top w:val="nil"/>
              <w:left w:val="nil"/>
              <w:bottom w:val="single" w:color="000000" w:sz="8" w:space="0"/>
              <w:right w:val="single" w:color="000000" w:sz="8" w:space="0"/>
            </w:tcBorders>
            <w:noWrap/>
            <w:vAlign w:val="center"/>
          </w:tcPr>
          <w:p w14:paraId="677D0DC3">
            <w:pPr>
              <w:widowControl/>
              <w:spacing w:line="440" w:lineRule="exact"/>
              <w:textAlignment w:val="center"/>
              <w:rPr>
                <w:rFonts w:ascii="宋体" w:hAnsi="宋体" w:cs="宋体"/>
                <w:color w:val="auto"/>
                <w:szCs w:val="21"/>
                <w:highlight w:val="none"/>
              </w:rPr>
            </w:pPr>
          </w:p>
        </w:tc>
        <w:tc>
          <w:tcPr>
            <w:tcW w:w="1521" w:type="dxa"/>
            <w:tcBorders>
              <w:top w:val="nil"/>
              <w:left w:val="nil"/>
              <w:bottom w:val="single" w:color="000000" w:sz="8" w:space="0"/>
              <w:right w:val="single" w:color="000000" w:sz="8" w:space="0"/>
            </w:tcBorders>
            <w:noWrap/>
            <w:vAlign w:val="center"/>
          </w:tcPr>
          <w:p w14:paraId="51AB15C6">
            <w:pPr>
              <w:spacing w:line="440" w:lineRule="exact"/>
              <w:rPr>
                <w:rFonts w:ascii="宋体" w:hAnsi="宋体" w:cs="宋体"/>
                <w:color w:val="auto"/>
                <w:szCs w:val="21"/>
                <w:highlight w:val="none"/>
              </w:rPr>
            </w:pPr>
            <w:r>
              <w:rPr>
                <w:rFonts w:hint="eastAsia" w:ascii="宋体" w:hAnsi="宋体" w:cs="宋体"/>
                <w:color w:val="auto"/>
                <w:kern w:val="0"/>
                <w:szCs w:val="21"/>
                <w:highlight w:val="none"/>
              </w:rPr>
              <w:t>四个月费用</w:t>
            </w:r>
          </w:p>
        </w:tc>
      </w:tr>
      <w:tr w14:paraId="1C2D7C32">
        <w:tblPrEx>
          <w:tblCellMar>
            <w:top w:w="0" w:type="dxa"/>
            <w:left w:w="108" w:type="dxa"/>
            <w:bottom w:w="0" w:type="dxa"/>
            <w:right w:w="108" w:type="dxa"/>
          </w:tblCellMar>
        </w:tblPrEx>
        <w:trPr>
          <w:trHeight w:val="498" w:hRule="atLeast"/>
          <w:jc w:val="center"/>
        </w:trPr>
        <w:tc>
          <w:tcPr>
            <w:tcW w:w="695" w:type="dxa"/>
            <w:tcBorders>
              <w:top w:val="nil"/>
              <w:left w:val="single" w:color="000000" w:sz="8" w:space="0"/>
              <w:bottom w:val="single" w:color="auto" w:sz="4" w:space="0"/>
              <w:right w:val="single" w:color="000000" w:sz="8" w:space="0"/>
            </w:tcBorders>
            <w:noWrap/>
            <w:vAlign w:val="center"/>
          </w:tcPr>
          <w:p w14:paraId="7991840B">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三</w:t>
            </w:r>
          </w:p>
        </w:tc>
        <w:tc>
          <w:tcPr>
            <w:tcW w:w="1304" w:type="dxa"/>
            <w:tcBorders>
              <w:top w:val="nil"/>
              <w:left w:val="nil"/>
              <w:bottom w:val="single" w:color="auto" w:sz="4" w:space="0"/>
              <w:right w:val="single" w:color="000000" w:sz="8" w:space="0"/>
            </w:tcBorders>
            <w:noWrap/>
            <w:vAlign w:val="center"/>
          </w:tcPr>
          <w:p w14:paraId="05C38031">
            <w:pPr>
              <w:widowControl/>
              <w:spacing w:line="440" w:lineRule="exac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社保</w:t>
            </w:r>
          </w:p>
        </w:tc>
        <w:tc>
          <w:tcPr>
            <w:tcW w:w="2386" w:type="dxa"/>
            <w:tcBorders>
              <w:top w:val="nil"/>
              <w:left w:val="nil"/>
              <w:bottom w:val="single" w:color="000000" w:sz="8" w:space="0"/>
              <w:right w:val="single" w:color="000000" w:sz="8" w:space="0"/>
            </w:tcBorders>
            <w:noWrap/>
            <w:vAlign w:val="center"/>
          </w:tcPr>
          <w:p w14:paraId="51BE6557">
            <w:pPr>
              <w:widowControl/>
              <w:spacing w:line="440" w:lineRule="exact"/>
              <w:textAlignment w:val="center"/>
              <w:rPr>
                <w:rFonts w:ascii="宋体" w:hAnsi="宋体" w:cs="宋体"/>
                <w:b/>
                <w:bCs/>
                <w:color w:val="auto"/>
                <w:szCs w:val="21"/>
                <w:highlight w:val="none"/>
                <w:u w:val="single"/>
              </w:rPr>
            </w:pPr>
            <w:r>
              <w:rPr>
                <w:rFonts w:hint="eastAsia" w:ascii="宋体" w:hAnsi="宋体" w:cs="宋体"/>
                <w:b/>
                <w:bCs/>
                <w:color w:val="auto"/>
                <w:kern w:val="0"/>
                <w:szCs w:val="21"/>
                <w:highlight w:val="none"/>
                <w:u w:val="single"/>
              </w:rPr>
              <w:t xml:space="preserve">       元/月×    人</w:t>
            </w:r>
          </w:p>
        </w:tc>
        <w:tc>
          <w:tcPr>
            <w:tcW w:w="1392" w:type="dxa"/>
            <w:tcBorders>
              <w:top w:val="nil"/>
              <w:left w:val="nil"/>
              <w:bottom w:val="single" w:color="000000" w:sz="8" w:space="0"/>
              <w:right w:val="single" w:color="000000" w:sz="8" w:space="0"/>
            </w:tcBorders>
            <w:noWrap/>
            <w:vAlign w:val="center"/>
          </w:tcPr>
          <w:p w14:paraId="7DED1748">
            <w:pPr>
              <w:widowControl/>
              <w:spacing w:line="440" w:lineRule="exact"/>
              <w:textAlignment w:val="center"/>
              <w:rPr>
                <w:rFonts w:ascii="宋体" w:hAnsi="宋体" w:cs="宋体"/>
                <w:color w:val="auto"/>
                <w:szCs w:val="21"/>
                <w:highlight w:val="none"/>
              </w:rPr>
            </w:pPr>
          </w:p>
        </w:tc>
        <w:tc>
          <w:tcPr>
            <w:tcW w:w="1365" w:type="dxa"/>
            <w:tcBorders>
              <w:top w:val="nil"/>
              <w:left w:val="nil"/>
              <w:bottom w:val="single" w:color="000000" w:sz="8" w:space="0"/>
              <w:right w:val="single" w:color="000000" w:sz="8" w:space="0"/>
            </w:tcBorders>
            <w:noWrap/>
            <w:vAlign w:val="center"/>
          </w:tcPr>
          <w:p w14:paraId="2633C8D1">
            <w:pPr>
              <w:widowControl/>
              <w:spacing w:line="440" w:lineRule="exact"/>
              <w:textAlignment w:val="center"/>
              <w:rPr>
                <w:rFonts w:ascii="宋体" w:hAnsi="宋体" w:cs="宋体"/>
                <w:color w:val="auto"/>
                <w:szCs w:val="21"/>
                <w:highlight w:val="none"/>
              </w:rPr>
            </w:pPr>
          </w:p>
        </w:tc>
        <w:tc>
          <w:tcPr>
            <w:tcW w:w="1521" w:type="dxa"/>
            <w:tcBorders>
              <w:top w:val="nil"/>
              <w:left w:val="nil"/>
              <w:bottom w:val="single" w:color="000000" w:sz="8" w:space="0"/>
              <w:right w:val="single" w:color="000000" w:sz="8" w:space="0"/>
            </w:tcBorders>
            <w:noWrap/>
            <w:vAlign w:val="center"/>
          </w:tcPr>
          <w:p w14:paraId="06A3B851">
            <w:pPr>
              <w:spacing w:line="440" w:lineRule="exact"/>
              <w:rPr>
                <w:rFonts w:ascii="宋体" w:hAnsi="宋体" w:cs="宋体"/>
                <w:color w:val="auto"/>
                <w:szCs w:val="21"/>
                <w:highlight w:val="none"/>
              </w:rPr>
            </w:pPr>
            <w:r>
              <w:rPr>
                <w:rFonts w:hint="eastAsia" w:ascii="宋体" w:hAnsi="宋体" w:cs="宋体"/>
                <w:color w:val="auto"/>
                <w:kern w:val="0"/>
                <w:szCs w:val="21"/>
                <w:highlight w:val="none"/>
              </w:rPr>
              <w:t>四个月费用</w:t>
            </w:r>
          </w:p>
        </w:tc>
      </w:tr>
      <w:tr w14:paraId="5AE2D3CF">
        <w:tblPrEx>
          <w:tblCellMar>
            <w:top w:w="0" w:type="dxa"/>
            <w:left w:w="108" w:type="dxa"/>
            <w:bottom w:w="0" w:type="dxa"/>
            <w:right w:w="108" w:type="dxa"/>
          </w:tblCellMar>
        </w:tblPrEx>
        <w:trPr>
          <w:trHeight w:val="498" w:hRule="atLeast"/>
          <w:jc w:val="center"/>
        </w:trPr>
        <w:tc>
          <w:tcPr>
            <w:tcW w:w="695" w:type="dxa"/>
            <w:tcBorders>
              <w:top w:val="single" w:color="auto" w:sz="4" w:space="0"/>
              <w:left w:val="single" w:color="000000" w:sz="8" w:space="0"/>
              <w:bottom w:val="single" w:color="auto" w:sz="4" w:space="0"/>
              <w:right w:val="single" w:color="000000" w:sz="8" w:space="0"/>
            </w:tcBorders>
            <w:noWrap/>
            <w:vAlign w:val="center"/>
          </w:tcPr>
          <w:p w14:paraId="73C83EBC">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四</w:t>
            </w:r>
          </w:p>
        </w:tc>
        <w:tc>
          <w:tcPr>
            <w:tcW w:w="1304" w:type="dxa"/>
            <w:tcBorders>
              <w:top w:val="single" w:color="auto" w:sz="4" w:space="0"/>
              <w:left w:val="nil"/>
              <w:bottom w:val="single" w:color="000000" w:sz="8" w:space="0"/>
              <w:right w:val="single" w:color="000000" w:sz="8" w:space="0"/>
            </w:tcBorders>
            <w:noWrap/>
            <w:vAlign w:val="center"/>
          </w:tcPr>
          <w:p w14:paraId="782794DC">
            <w:pPr>
              <w:widowControl/>
              <w:spacing w:line="440" w:lineRule="exac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开荒费</w:t>
            </w:r>
          </w:p>
        </w:tc>
        <w:tc>
          <w:tcPr>
            <w:tcW w:w="2386" w:type="dxa"/>
            <w:tcBorders>
              <w:top w:val="nil"/>
              <w:left w:val="nil"/>
              <w:bottom w:val="single" w:color="000000" w:sz="8" w:space="0"/>
              <w:right w:val="single" w:color="000000" w:sz="8" w:space="0"/>
            </w:tcBorders>
            <w:noWrap/>
            <w:vAlign w:val="center"/>
          </w:tcPr>
          <w:p w14:paraId="16793167">
            <w:pPr>
              <w:widowControl/>
              <w:spacing w:line="440" w:lineRule="exact"/>
              <w:jc w:val="left"/>
              <w:textAlignment w:val="center"/>
              <w:rPr>
                <w:rFonts w:ascii="宋体" w:hAnsi="宋体" w:cs="宋体"/>
                <w:b/>
                <w:bCs/>
                <w:color w:val="auto"/>
                <w:szCs w:val="21"/>
                <w:highlight w:val="none"/>
                <w:u w:val="single"/>
              </w:rPr>
            </w:pPr>
            <w:r>
              <w:rPr>
                <w:rFonts w:hint="eastAsia" w:ascii="宋体" w:hAnsi="宋体" w:cs="宋体"/>
                <w:b/>
                <w:bCs/>
                <w:color w:val="auto"/>
                <w:kern w:val="0"/>
                <w:szCs w:val="21"/>
                <w:highlight w:val="none"/>
              </w:rPr>
              <w:t>附明细（表1）</w:t>
            </w:r>
          </w:p>
        </w:tc>
        <w:tc>
          <w:tcPr>
            <w:tcW w:w="1392" w:type="dxa"/>
            <w:tcBorders>
              <w:top w:val="nil"/>
              <w:left w:val="nil"/>
              <w:bottom w:val="single" w:color="000000" w:sz="8" w:space="0"/>
              <w:right w:val="single" w:color="000000" w:sz="8" w:space="0"/>
            </w:tcBorders>
            <w:noWrap/>
            <w:vAlign w:val="center"/>
          </w:tcPr>
          <w:p w14:paraId="04F638F3">
            <w:pPr>
              <w:widowControl/>
              <w:spacing w:line="440" w:lineRule="exact"/>
              <w:textAlignment w:val="center"/>
              <w:rPr>
                <w:rFonts w:ascii="宋体" w:hAnsi="宋体" w:cs="宋体"/>
                <w:color w:val="auto"/>
                <w:szCs w:val="21"/>
                <w:highlight w:val="none"/>
              </w:rPr>
            </w:pPr>
          </w:p>
        </w:tc>
        <w:tc>
          <w:tcPr>
            <w:tcW w:w="1365" w:type="dxa"/>
            <w:tcBorders>
              <w:top w:val="nil"/>
              <w:left w:val="nil"/>
              <w:bottom w:val="single" w:color="000000" w:sz="8" w:space="0"/>
              <w:right w:val="single" w:color="000000" w:sz="8" w:space="0"/>
            </w:tcBorders>
            <w:noWrap/>
            <w:vAlign w:val="center"/>
          </w:tcPr>
          <w:p w14:paraId="72809953">
            <w:pPr>
              <w:widowControl/>
              <w:spacing w:line="440" w:lineRule="exact"/>
              <w:textAlignment w:val="center"/>
              <w:rPr>
                <w:rFonts w:ascii="宋体" w:hAnsi="宋体" w:cs="宋体"/>
                <w:color w:val="auto"/>
                <w:szCs w:val="21"/>
                <w:highlight w:val="none"/>
              </w:rPr>
            </w:pPr>
          </w:p>
        </w:tc>
        <w:tc>
          <w:tcPr>
            <w:tcW w:w="1521" w:type="dxa"/>
            <w:tcBorders>
              <w:top w:val="nil"/>
              <w:left w:val="nil"/>
              <w:bottom w:val="single" w:color="000000" w:sz="8" w:space="0"/>
              <w:right w:val="single" w:color="000000" w:sz="8" w:space="0"/>
            </w:tcBorders>
            <w:noWrap/>
            <w:vAlign w:val="center"/>
          </w:tcPr>
          <w:p w14:paraId="4CBDDE5B">
            <w:pPr>
              <w:spacing w:line="440" w:lineRule="exact"/>
              <w:rPr>
                <w:rFonts w:ascii="宋体" w:hAnsi="宋体" w:cs="宋体"/>
                <w:color w:val="auto"/>
                <w:szCs w:val="21"/>
                <w:highlight w:val="none"/>
              </w:rPr>
            </w:pPr>
            <w:r>
              <w:rPr>
                <w:rFonts w:hint="eastAsia" w:ascii="宋体" w:hAnsi="宋体" w:cs="宋体"/>
                <w:color w:val="auto"/>
                <w:kern w:val="0"/>
                <w:szCs w:val="21"/>
                <w:highlight w:val="none"/>
              </w:rPr>
              <w:t>一次性费用</w:t>
            </w:r>
          </w:p>
        </w:tc>
      </w:tr>
      <w:tr w14:paraId="79252EF1">
        <w:tblPrEx>
          <w:tblCellMar>
            <w:top w:w="0" w:type="dxa"/>
            <w:left w:w="108" w:type="dxa"/>
            <w:bottom w:w="0" w:type="dxa"/>
            <w:right w:w="108" w:type="dxa"/>
          </w:tblCellMar>
        </w:tblPrEx>
        <w:trPr>
          <w:trHeight w:val="498" w:hRule="atLeast"/>
          <w:jc w:val="center"/>
        </w:trPr>
        <w:tc>
          <w:tcPr>
            <w:tcW w:w="695" w:type="dxa"/>
            <w:tcBorders>
              <w:top w:val="single" w:color="auto" w:sz="4" w:space="0"/>
              <w:left w:val="single" w:color="000000" w:sz="8" w:space="0"/>
              <w:bottom w:val="single" w:color="000000" w:sz="8" w:space="0"/>
              <w:right w:val="single" w:color="000000" w:sz="8" w:space="0"/>
            </w:tcBorders>
            <w:noWrap/>
            <w:vAlign w:val="center"/>
          </w:tcPr>
          <w:p w14:paraId="58053A90">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五</w:t>
            </w:r>
          </w:p>
        </w:tc>
        <w:tc>
          <w:tcPr>
            <w:tcW w:w="1304" w:type="dxa"/>
            <w:tcBorders>
              <w:top w:val="nil"/>
              <w:left w:val="nil"/>
              <w:bottom w:val="single" w:color="000000" w:sz="8" w:space="0"/>
              <w:right w:val="single" w:color="000000" w:sz="8" w:space="0"/>
            </w:tcBorders>
            <w:noWrap/>
            <w:vAlign w:val="center"/>
          </w:tcPr>
          <w:p w14:paraId="25B8B043">
            <w:pPr>
              <w:widowControl/>
              <w:spacing w:line="440" w:lineRule="exac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承接查验费</w:t>
            </w:r>
          </w:p>
        </w:tc>
        <w:tc>
          <w:tcPr>
            <w:tcW w:w="2386" w:type="dxa"/>
            <w:tcBorders>
              <w:top w:val="nil"/>
              <w:left w:val="nil"/>
              <w:bottom w:val="single" w:color="000000" w:sz="8" w:space="0"/>
              <w:right w:val="single" w:color="000000" w:sz="8" w:space="0"/>
            </w:tcBorders>
            <w:noWrap/>
            <w:vAlign w:val="center"/>
          </w:tcPr>
          <w:p w14:paraId="53C7C897">
            <w:pPr>
              <w:widowControl/>
              <w:tabs>
                <w:tab w:val="center" w:pos="1114"/>
              </w:tabs>
              <w:spacing w:line="440" w:lineRule="exact"/>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附明细（表2）</w:t>
            </w:r>
          </w:p>
        </w:tc>
        <w:tc>
          <w:tcPr>
            <w:tcW w:w="1392" w:type="dxa"/>
            <w:tcBorders>
              <w:top w:val="nil"/>
              <w:left w:val="nil"/>
              <w:bottom w:val="single" w:color="000000" w:sz="8" w:space="0"/>
              <w:right w:val="single" w:color="000000" w:sz="8" w:space="0"/>
            </w:tcBorders>
            <w:noWrap/>
            <w:vAlign w:val="center"/>
          </w:tcPr>
          <w:p w14:paraId="2529E7AA">
            <w:pPr>
              <w:widowControl/>
              <w:spacing w:line="440" w:lineRule="exact"/>
              <w:textAlignment w:val="center"/>
              <w:rPr>
                <w:rFonts w:ascii="宋体" w:hAnsi="宋体" w:cs="宋体"/>
                <w:color w:val="auto"/>
                <w:szCs w:val="21"/>
                <w:highlight w:val="none"/>
              </w:rPr>
            </w:pPr>
          </w:p>
        </w:tc>
        <w:tc>
          <w:tcPr>
            <w:tcW w:w="1365" w:type="dxa"/>
            <w:tcBorders>
              <w:top w:val="nil"/>
              <w:left w:val="nil"/>
              <w:bottom w:val="single" w:color="000000" w:sz="8" w:space="0"/>
              <w:right w:val="single" w:color="000000" w:sz="8" w:space="0"/>
            </w:tcBorders>
            <w:noWrap/>
            <w:vAlign w:val="center"/>
          </w:tcPr>
          <w:p w14:paraId="05BA9BC6">
            <w:pPr>
              <w:widowControl/>
              <w:spacing w:line="440" w:lineRule="exact"/>
              <w:textAlignment w:val="center"/>
              <w:rPr>
                <w:rFonts w:ascii="宋体" w:hAnsi="宋体" w:cs="宋体"/>
                <w:color w:val="auto"/>
                <w:szCs w:val="21"/>
                <w:highlight w:val="none"/>
              </w:rPr>
            </w:pPr>
          </w:p>
        </w:tc>
        <w:tc>
          <w:tcPr>
            <w:tcW w:w="1521" w:type="dxa"/>
            <w:tcBorders>
              <w:top w:val="nil"/>
              <w:left w:val="nil"/>
              <w:bottom w:val="single" w:color="000000" w:sz="8" w:space="0"/>
              <w:right w:val="single" w:color="000000" w:sz="8" w:space="0"/>
            </w:tcBorders>
            <w:noWrap/>
            <w:vAlign w:val="center"/>
          </w:tcPr>
          <w:p w14:paraId="2B3E1216">
            <w:pPr>
              <w:spacing w:line="440" w:lineRule="exact"/>
              <w:rPr>
                <w:rFonts w:ascii="宋体" w:hAnsi="宋体" w:cs="宋体"/>
                <w:color w:val="auto"/>
                <w:szCs w:val="21"/>
                <w:highlight w:val="none"/>
              </w:rPr>
            </w:pPr>
            <w:r>
              <w:rPr>
                <w:rFonts w:hint="eastAsia" w:ascii="宋体" w:hAnsi="宋体" w:cs="宋体"/>
                <w:color w:val="auto"/>
                <w:kern w:val="0"/>
                <w:szCs w:val="21"/>
                <w:highlight w:val="none"/>
              </w:rPr>
              <w:t>一次性费用</w:t>
            </w:r>
          </w:p>
        </w:tc>
      </w:tr>
      <w:tr w14:paraId="0F4C8BC3">
        <w:tblPrEx>
          <w:tblCellMar>
            <w:top w:w="0" w:type="dxa"/>
            <w:left w:w="108" w:type="dxa"/>
            <w:bottom w:w="0" w:type="dxa"/>
            <w:right w:w="108" w:type="dxa"/>
          </w:tblCellMar>
        </w:tblPrEx>
        <w:trPr>
          <w:trHeight w:val="498" w:hRule="atLeast"/>
          <w:jc w:val="center"/>
        </w:trPr>
        <w:tc>
          <w:tcPr>
            <w:tcW w:w="695" w:type="dxa"/>
            <w:tcBorders>
              <w:top w:val="nil"/>
              <w:left w:val="single" w:color="000000" w:sz="8" w:space="0"/>
              <w:bottom w:val="single" w:color="000000" w:sz="8" w:space="0"/>
              <w:right w:val="single" w:color="000000" w:sz="8" w:space="0"/>
            </w:tcBorders>
            <w:noWrap/>
            <w:vAlign w:val="center"/>
          </w:tcPr>
          <w:p w14:paraId="0DABE6EF">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六</w:t>
            </w:r>
          </w:p>
        </w:tc>
        <w:tc>
          <w:tcPr>
            <w:tcW w:w="1304" w:type="dxa"/>
            <w:tcBorders>
              <w:top w:val="nil"/>
              <w:left w:val="nil"/>
              <w:bottom w:val="single" w:color="000000" w:sz="8" w:space="0"/>
              <w:right w:val="single" w:color="000000" w:sz="8" w:space="0"/>
            </w:tcBorders>
            <w:noWrap/>
            <w:vAlign w:val="center"/>
          </w:tcPr>
          <w:p w14:paraId="7FE39118">
            <w:pPr>
              <w:widowControl/>
              <w:spacing w:line="440" w:lineRule="exac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安保耗材费</w:t>
            </w:r>
          </w:p>
        </w:tc>
        <w:tc>
          <w:tcPr>
            <w:tcW w:w="2386" w:type="dxa"/>
            <w:tcBorders>
              <w:top w:val="nil"/>
              <w:left w:val="nil"/>
              <w:bottom w:val="single" w:color="000000" w:sz="8" w:space="0"/>
              <w:right w:val="single" w:color="000000" w:sz="8" w:space="0"/>
            </w:tcBorders>
            <w:noWrap/>
            <w:vAlign w:val="center"/>
          </w:tcPr>
          <w:p w14:paraId="5D89A90A">
            <w:pPr>
              <w:widowControl/>
              <w:tabs>
                <w:tab w:val="center" w:pos="1114"/>
              </w:tabs>
              <w:spacing w:line="440" w:lineRule="exact"/>
              <w:jc w:val="lef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附明细（表3）</w:t>
            </w:r>
          </w:p>
        </w:tc>
        <w:tc>
          <w:tcPr>
            <w:tcW w:w="1392" w:type="dxa"/>
            <w:tcBorders>
              <w:top w:val="nil"/>
              <w:left w:val="nil"/>
              <w:bottom w:val="single" w:color="000000" w:sz="8" w:space="0"/>
              <w:right w:val="single" w:color="000000" w:sz="8" w:space="0"/>
            </w:tcBorders>
            <w:noWrap/>
            <w:vAlign w:val="center"/>
          </w:tcPr>
          <w:p w14:paraId="29A304FE">
            <w:pPr>
              <w:widowControl/>
              <w:spacing w:line="440" w:lineRule="exact"/>
              <w:textAlignment w:val="center"/>
              <w:rPr>
                <w:rFonts w:ascii="宋体" w:hAnsi="宋体" w:cs="宋体"/>
                <w:color w:val="auto"/>
                <w:szCs w:val="21"/>
                <w:highlight w:val="none"/>
              </w:rPr>
            </w:pPr>
          </w:p>
        </w:tc>
        <w:tc>
          <w:tcPr>
            <w:tcW w:w="1365" w:type="dxa"/>
            <w:tcBorders>
              <w:top w:val="nil"/>
              <w:left w:val="nil"/>
              <w:bottom w:val="single" w:color="000000" w:sz="8" w:space="0"/>
              <w:right w:val="single" w:color="000000" w:sz="8" w:space="0"/>
            </w:tcBorders>
            <w:noWrap/>
            <w:vAlign w:val="center"/>
          </w:tcPr>
          <w:p w14:paraId="290ED466">
            <w:pPr>
              <w:widowControl/>
              <w:spacing w:line="440" w:lineRule="exact"/>
              <w:textAlignment w:val="center"/>
              <w:rPr>
                <w:rFonts w:ascii="宋体" w:hAnsi="宋体" w:cs="宋体"/>
                <w:color w:val="auto"/>
                <w:szCs w:val="21"/>
                <w:highlight w:val="none"/>
              </w:rPr>
            </w:pPr>
          </w:p>
        </w:tc>
        <w:tc>
          <w:tcPr>
            <w:tcW w:w="1521" w:type="dxa"/>
            <w:tcBorders>
              <w:top w:val="nil"/>
              <w:left w:val="nil"/>
              <w:bottom w:val="single" w:color="000000" w:sz="8" w:space="0"/>
              <w:right w:val="single" w:color="000000" w:sz="8" w:space="0"/>
            </w:tcBorders>
            <w:noWrap/>
            <w:vAlign w:val="center"/>
          </w:tcPr>
          <w:p w14:paraId="72F3FAD0">
            <w:pPr>
              <w:spacing w:line="440" w:lineRule="exact"/>
              <w:rPr>
                <w:rFonts w:ascii="宋体" w:hAnsi="宋体" w:cs="宋体"/>
                <w:color w:val="auto"/>
                <w:szCs w:val="21"/>
                <w:highlight w:val="none"/>
              </w:rPr>
            </w:pPr>
            <w:r>
              <w:rPr>
                <w:rFonts w:hint="eastAsia" w:ascii="宋体" w:hAnsi="宋体" w:cs="宋体"/>
                <w:color w:val="auto"/>
                <w:kern w:val="0"/>
                <w:szCs w:val="21"/>
                <w:highlight w:val="none"/>
              </w:rPr>
              <w:t>四个月费用</w:t>
            </w:r>
          </w:p>
        </w:tc>
      </w:tr>
      <w:tr w14:paraId="4A6E4113">
        <w:tblPrEx>
          <w:tblCellMar>
            <w:top w:w="0" w:type="dxa"/>
            <w:left w:w="108" w:type="dxa"/>
            <w:bottom w:w="0" w:type="dxa"/>
            <w:right w:w="108" w:type="dxa"/>
          </w:tblCellMar>
        </w:tblPrEx>
        <w:trPr>
          <w:trHeight w:val="498" w:hRule="atLeast"/>
          <w:jc w:val="center"/>
        </w:trPr>
        <w:tc>
          <w:tcPr>
            <w:tcW w:w="695" w:type="dxa"/>
            <w:tcBorders>
              <w:top w:val="nil"/>
              <w:left w:val="single" w:color="000000" w:sz="8" w:space="0"/>
              <w:bottom w:val="single" w:color="000000" w:sz="8" w:space="0"/>
              <w:right w:val="single" w:color="000000" w:sz="8" w:space="0"/>
            </w:tcBorders>
            <w:noWrap/>
            <w:vAlign w:val="center"/>
          </w:tcPr>
          <w:p w14:paraId="2BC7F3E6">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七</w:t>
            </w:r>
          </w:p>
        </w:tc>
        <w:tc>
          <w:tcPr>
            <w:tcW w:w="1304" w:type="dxa"/>
            <w:tcBorders>
              <w:top w:val="nil"/>
              <w:left w:val="nil"/>
              <w:bottom w:val="single" w:color="000000" w:sz="8" w:space="0"/>
              <w:right w:val="single" w:color="000000" w:sz="8" w:space="0"/>
            </w:tcBorders>
            <w:noWrap/>
            <w:vAlign w:val="center"/>
          </w:tcPr>
          <w:p w14:paraId="2A2D3694">
            <w:pPr>
              <w:widowControl/>
              <w:spacing w:line="440" w:lineRule="exac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服装折旧</w:t>
            </w:r>
          </w:p>
        </w:tc>
        <w:tc>
          <w:tcPr>
            <w:tcW w:w="2386" w:type="dxa"/>
            <w:tcBorders>
              <w:top w:val="nil"/>
              <w:left w:val="nil"/>
              <w:bottom w:val="single" w:color="000000" w:sz="8" w:space="0"/>
              <w:right w:val="single" w:color="000000" w:sz="8" w:space="0"/>
            </w:tcBorders>
            <w:noWrap/>
            <w:vAlign w:val="center"/>
          </w:tcPr>
          <w:p w14:paraId="3EF61A97">
            <w:pPr>
              <w:spacing w:line="440" w:lineRule="exact"/>
              <w:rPr>
                <w:rFonts w:ascii="宋体" w:hAnsi="宋体" w:cs="宋体"/>
                <w:b/>
                <w:bCs/>
                <w:color w:val="auto"/>
                <w:szCs w:val="21"/>
                <w:highlight w:val="none"/>
              </w:rPr>
            </w:pPr>
          </w:p>
        </w:tc>
        <w:tc>
          <w:tcPr>
            <w:tcW w:w="1392" w:type="dxa"/>
            <w:tcBorders>
              <w:top w:val="nil"/>
              <w:left w:val="nil"/>
              <w:bottom w:val="single" w:color="000000" w:sz="8" w:space="0"/>
              <w:right w:val="single" w:color="000000" w:sz="8" w:space="0"/>
            </w:tcBorders>
            <w:noWrap/>
            <w:vAlign w:val="center"/>
          </w:tcPr>
          <w:p w14:paraId="7BB2F279">
            <w:pPr>
              <w:widowControl/>
              <w:spacing w:line="440" w:lineRule="exact"/>
              <w:textAlignment w:val="center"/>
              <w:rPr>
                <w:rFonts w:ascii="宋体" w:hAnsi="宋体" w:cs="宋体"/>
                <w:color w:val="auto"/>
                <w:szCs w:val="21"/>
                <w:highlight w:val="none"/>
              </w:rPr>
            </w:pPr>
          </w:p>
        </w:tc>
        <w:tc>
          <w:tcPr>
            <w:tcW w:w="1365" w:type="dxa"/>
            <w:tcBorders>
              <w:top w:val="nil"/>
              <w:left w:val="nil"/>
              <w:bottom w:val="single" w:color="000000" w:sz="8" w:space="0"/>
              <w:right w:val="single" w:color="000000" w:sz="8" w:space="0"/>
            </w:tcBorders>
            <w:noWrap/>
            <w:vAlign w:val="center"/>
          </w:tcPr>
          <w:p w14:paraId="48345550">
            <w:pPr>
              <w:widowControl/>
              <w:spacing w:line="440" w:lineRule="exact"/>
              <w:textAlignment w:val="center"/>
              <w:rPr>
                <w:rFonts w:ascii="宋体" w:hAnsi="宋体" w:cs="宋体"/>
                <w:color w:val="auto"/>
                <w:szCs w:val="21"/>
                <w:highlight w:val="none"/>
              </w:rPr>
            </w:pPr>
          </w:p>
        </w:tc>
        <w:tc>
          <w:tcPr>
            <w:tcW w:w="1521" w:type="dxa"/>
            <w:tcBorders>
              <w:top w:val="nil"/>
              <w:left w:val="nil"/>
              <w:bottom w:val="single" w:color="000000" w:sz="8" w:space="0"/>
              <w:right w:val="single" w:color="000000" w:sz="8" w:space="0"/>
            </w:tcBorders>
            <w:noWrap/>
            <w:vAlign w:val="center"/>
          </w:tcPr>
          <w:p w14:paraId="206CCE76">
            <w:pPr>
              <w:spacing w:line="440" w:lineRule="exact"/>
              <w:rPr>
                <w:rFonts w:ascii="宋体" w:hAnsi="宋体" w:cs="宋体"/>
                <w:color w:val="auto"/>
                <w:szCs w:val="21"/>
                <w:highlight w:val="none"/>
              </w:rPr>
            </w:pPr>
            <w:r>
              <w:rPr>
                <w:rFonts w:hint="eastAsia" w:ascii="宋体" w:hAnsi="宋体" w:cs="宋体"/>
                <w:color w:val="auto"/>
                <w:kern w:val="0"/>
                <w:szCs w:val="21"/>
                <w:highlight w:val="none"/>
              </w:rPr>
              <w:t>四个月费用</w:t>
            </w:r>
          </w:p>
        </w:tc>
      </w:tr>
      <w:tr w14:paraId="0A4E6C91">
        <w:tblPrEx>
          <w:tblCellMar>
            <w:top w:w="0" w:type="dxa"/>
            <w:left w:w="108" w:type="dxa"/>
            <w:bottom w:w="0" w:type="dxa"/>
            <w:right w:w="108" w:type="dxa"/>
          </w:tblCellMar>
        </w:tblPrEx>
        <w:trPr>
          <w:trHeight w:val="498" w:hRule="atLeast"/>
          <w:jc w:val="center"/>
        </w:trPr>
        <w:tc>
          <w:tcPr>
            <w:tcW w:w="695" w:type="dxa"/>
            <w:tcBorders>
              <w:top w:val="nil"/>
              <w:left w:val="single" w:color="000000" w:sz="8" w:space="0"/>
              <w:bottom w:val="single" w:color="000000" w:sz="8" w:space="0"/>
              <w:right w:val="single" w:color="000000" w:sz="8" w:space="0"/>
            </w:tcBorders>
            <w:noWrap/>
            <w:vAlign w:val="center"/>
          </w:tcPr>
          <w:p w14:paraId="7AFA2417">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八</w:t>
            </w:r>
          </w:p>
        </w:tc>
        <w:tc>
          <w:tcPr>
            <w:tcW w:w="1304" w:type="dxa"/>
            <w:tcBorders>
              <w:top w:val="nil"/>
              <w:left w:val="nil"/>
              <w:bottom w:val="single" w:color="000000" w:sz="8" w:space="0"/>
              <w:right w:val="single" w:color="000000" w:sz="8" w:space="0"/>
            </w:tcBorders>
            <w:noWrap/>
            <w:vAlign w:val="center"/>
          </w:tcPr>
          <w:p w14:paraId="19C0154C">
            <w:pPr>
              <w:widowControl/>
              <w:spacing w:line="440" w:lineRule="exac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办公费用</w:t>
            </w:r>
          </w:p>
        </w:tc>
        <w:tc>
          <w:tcPr>
            <w:tcW w:w="2386" w:type="dxa"/>
            <w:tcBorders>
              <w:top w:val="nil"/>
              <w:left w:val="nil"/>
              <w:bottom w:val="single" w:color="000000" w:sz="8" w:space="0"/>
              <w:right w:val="single" w:color="000000" w:sz="8" w:space="0"/>
            </w:tcBorders>
            <w:noWrap/>
            <w:vAlign w:val="center"/>
          </w:tcPr>
          <w:p w14:paraId="58276308">
            <w:pPr>
              <w:spacing w:line="440" w:lineRule="exact"/>
              <w:rPr>
                <w:rFonts w:ascii="宋体" w:hAnsi="宋体" w:cs="宋体"/>
                <w:b/>
                <w:bCs/>
                <w:color w:val="auto"/>
                <w:szCs w:val="21"/>
                <w:highlight w:val="none"/>
              </w:rPr>
            </w:pPr>
            <w:r>
              <w:rPr>
                <w:rFonts w:hint="eastAsia" w:ascii="宋体" w:hAnsi="宋体" w:cs="宋体"/>
                <w:b/>
                <w:bCs/>
                <w:color w:val="auto"/>
                <w:kern w:val="0"/>
                <w:szCs w:val="21"/>
                <w:highlight w:val="none"/>
              </w:rPr>
              <w:t>附明细（表4）</w:t>
            </w:r>
          </w:p>
        </w:tc>
        <w:tc>
          <w:tcPr>
            <w:tcW w:w="1392" w:type="dxa"/>
            <w:tcBorders>
              <w:top w:val="nil"/>
              <w:left w:val="nil"/>
              <w:bottom w:val="single" w:color="000000" w:sz="8" w:space="0"/>
              <w:right w:val="single" w:color="000000" w:sz="8" w:space="0"/>
            </w:tcBorders>
            <w:noWrap/>
            <w:vAlign w:val="center"/>
          </w:tcPr>
          <w:p w14:paraId="6605A778">
            <w:pPr>
              <w:widowControl/>
              <w:spacing w:line="440" w:lineRule="exact"/>
              <w:textAlignment w:val="center"/>
              <w:rPr>
                <w:rFonts w:ascii="宋体" w:hAnsi="宋体" w:cs="宋体"/>
                <w:color w:val="auto"/>
                <w:szCs w:val="21"/>
                <w:highlight w:val="none"/>
              </w:rPr>
            </w:pPr>
          </w:p>
        </w:tc>
        <w:tc>
          <w:tcPr>
            <w:tcW w:w="1365" w:type="dxa"/>
            <w:tcBorders>
              <w:top w:val="nil"/>
              <w:left w:val="nil"/>
              <w:bottom w:val="single" w:color="000000" w:sz="8" w:space="0"/>
              <w:right w:val="single" w:color="000000" w:sz="8" w:space="0"/>
            </w:tcBorders>
            <w:noWrap/>
            <w:vAlign w:val="center"/>
          </w:tcPr>
          <w:p w14:paraId="6C11CC2E">
            <w:pPr>
              <w:widowControl/>
              <w:spacing w:line="440" w:lineRule="exact"/>
              <w:textAlignment w:val="center"/>
              <w:rPr>
                <w:rFonts w:ascii="宋体" w:hAnsi="宋体" w:cs="宋体"/>
                <w:color w:val="auto"/>
                <w:szCs w:val="21"/>
                <w:highlight w:val="none"/>
              </w:rPr>
            </w:pPr>
          </w:p>
        </w:tc>
        <w:tc>
          <w:tcPr>
            <w:tcW w:w="1521" w:type="dxa"/>
            <w:tcBorders>
              <w:top w:val="nil"/>
              <w:left w:val="nil"/>
              <w:bottom w:val="single" w:color="000000" w:sz="8" w:space="0"/>
              <w:right w:val="single" w:color="000000" w:sz="8" w:space="0"/>
            </w:tcBorders>
            <w:noWrap/>
            <w:vAlign w:val="center"/>
          </w:tcPr>
          <w:p w14:paraId="13816BAA">
            <w:pPr>
              <w:spacing w:line="440" w:lineRule="exact"/>
              <w:rPr>
                <w:rFonts w:ascii="宋体" w:hAnsi="宋体" w:cs="宋体"/>
                <w:color w:val="auto"/>
                <w:szCs w:val="21"/>
                <w:highlight w:val="none"/>
              </w:rPr>
            </w:pPr>
            <w:r>
              <w:rPr>
                <w:rFonts w:hint="eastAsia" w:ascii="宋体" w:hAnsi="宋体" w:cs="宋体"/>
                <w:color w:val="auto"/>
                <w:kern w:val="0"/>
                <w:szCs w:val="21"/>
                <w:highlight w:val="none"/>
              </w:rPr>
              <w:t>一次性费用</w:t>
            </w:r>
          </w:p>
        </w:tc>
      </w:tr>
      <w:tr w14:paraId="658F30B2">
        <w:tblPrEx>
          <w:tblCellMar>
            <w:top w:w="0" w:type="dxa"/>
            <w:left w:w="108" w:type="dxa"/>
            <w:bottom w:w="0" w:type="dxa"/>
            <w:right w:w="108" w:type="dxa"/>
          </w:tblCellMar>
        </w:tblPrEx>
        <w:trPr>
          <w:trHeight w:val="498" w:hRule="atLeast"/>
          <w:jc w:val="center"/>
        </w:trPr>
        <w:tc>
          <w:tcPr>
            <w:tcW w:w="695" w:type="dxa"/>
            <w:tcBorders>
              <w:top w:val="nil"/>
              <w:left w:val="single" w:color="000000" w:sz="8" w:space="0"/>
              <w:bottom w:val="single" w:color="000000" w:sz="8" w:space="0"/>
              <w:right w:val="single" w:color="000000" w:sz="8" w:space="0"/>
            </w:tcBorders>
            <w:noWrap/>
            <w:vAlign w:val="center"/>
          </w:tcPr>
          <w:p w14:paraId="03C9943D">
            <w:pPr>
              <w:widowControl/>
              <w:spacing w:line="440" w:lineRule="exact"/>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九</w:t>
            </w:r>
          </w:p>
        </w:tc>
        <w:tc>
          <w:tcPr>
            <w:tcW w:w="1304" w:type="dxa"/>
            <w:tcBorders>
              <w:top w:val="nil"/>
              <w:left w:val="nil"/>
              <w:bottom w:val="single" w:color="000000" w:sz="8" w:space="0"/>
              <w:right w:val="single" w:color="000000" w:sz="8" w:space="0"/>
            </w:tcBorders>
            <w:noWrap/>
            <w:vAlign w:val="center"/>
          </w:tcPr>
          <w:p w14:paraId="520AAF69">
            <w:pPr>
              <w:widowControl/>
              <w:spacing w:line="440" w:lineRule="exac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w:t>
            </w:r>
          </w:p>
        </w:tc>
        <w:tc>
          <w:tcPr>
            <w:tcW w:w="2386" w:type="dxa"/>
            <w:tcBorders>
              <w:top w:val="nil"/>
              <w:left w:val="nil"/>
              <w:bottom w:val="single" w:color="000000" w:sz="8" w:space="0"/>
              <w:right w:val="single" w:color="000000" w:sz="8" w:space="0"/>
            </w:tcBorders>
            <w:noWrap/>
            <w:vAlign w:val="center"/>
          </w:tcPr>
          <w:p w14:paraId="01184D18">
            <w:pPr>
              <w:spacing w:line="440" w:lineRule="exact"/>
              <w:rPr>
                <w:rFonts w:ascii="宋体" w:hAnsi="宋体" w:cs="宋体"/>
                <w:b/>
                <w:bCs/>
                <w:color w:val="auto"/>
                <w:kern w:val="0"/>
                <w:szCs w:val="21"/>
                <w:highlight w:val="none"/>
              </w:rPr>
            </w:pPr>
          </w:p>
        </w:tc>
        <w:tc>
          <w:tcPr>
            <w:tcW w:w="1392" w:type="dxa"/>
            <w:tcBorders>
              <w:top w:val="nil"/>
              <w:left w:val="nil"/>
              <w:bottom w:val="single" w:color="000000" w:sz="8" w:space="0"/>
              <w:right w:val="single" w:color="000000" w:sz="8" w:space="0"/>
            </w:tcBorders>
            <w:noWrap/>
            <w:vAlign w:val="center"/>
          </w:tcPr>
          <w:p w14:paraId="5A4ECDDF">
            <w:pPr>
              <w:widowControl/>
              <w:spacing w:line="440" w:lineRule="exact"/>
              <w:textAlignment w:val="center"/>
              <w:rPr>
                <w:rFonts w:ascii="宋体" w:hAnsi="宋体" w:cs="宋体"/>
                <w:color w:val="auto"/>
                <w:szCs w:val="21"/>
                <w:highlight w:val="none"/>
              </w:rPr>
            </w:pPr>
          </w:p>
        </w:tc>
        <w:tc>
          <w:tcPr>
            <w:tcW w:w="1365" w:type="dxa"/>
            <w:tcBorders>
              <w:top w:val="nil"/>
              <w:left w:val="nil"/>
              <w:bottom w:val="single" w:color="000000" w:sz="8" w:space="0"/>
              <w:right w:val="single" w:color="000000" w:sz="8" w:space="0"/>
            </w:tcBorders>
            <w:noWrap/>
            <w:vAlign w:val="center"/>
          </w:tcPr>
          <w:p w14:paraId="7ADC345F">
            <w:pPr>
              <w:widowControl/>
              <w:spacing w:line="440" w:lineRule="exact"/>
              <w:textAlignment w:val="center"/>
              <w:rPr>
                <w:rFonts w:ascii="宋体" w:hAnsi="宋体" w:cs="宋体"/>
                <w:color w:val="auto"/>
                <w:szCs w:val="21"/>
                <w:highlight w:val="none"/>
              </w:rPr>
            </w:pPr>
          </w:p>
        </w:tc>
        <w:tc>
          <w:tcPr>
            <w:tcW w:w="1521" w:type="dxa"/>
            <w:tcBorders>
              <w:top w:val="nil"/>
              <w:left w:val="nil"/>
              <w:bottom w:val="single" w:color="000000" w:sz="8" w:space="0"/>
              <w:right w:val="single" w:color="000000" w:sz="8" w:space="0"/>
            </w:tcBorders>
            <w:noWrap/>
            <w:vAlign w:val="center"/>
          </w:tcPr>
          <w:p w14:paraId="06524B11">
            <w:pPr>
              <w:spacing w:line="440" w:lineRule="exact"/>
              <w:rPr>
                <w:rFonts w:ascii="宋体" w:hAnsi="宋体" w:cs="宋体"/>
                <w:color w:val="auto"/>
                <w:szCs w:val="21"/>
                <w:highlight w:val="none"/>
              </w:rPr>
            </w:pPr>
            <w:r>
              <w:rPr>
                <w:rFonts w:hint="eastAsia" w:ascii="宋体" w:hAnsi="宋体" w:cs="宋体"/>
                <w:color w:val="auto"/>
                <w:kern w:val="0"/>
                <w:szCs w:val="21"/>
                <w:highlight w:val="none"/>
              </w:rPr>
              <w:t>一次性费用</w:t>
            </w:r>
          </w:p>
        </w:tc>
      </w:tr>
      <w:tr w14:paraId="6A9A95AA">
        <w:tblPrEx>
          <w:tblCellMar>
            <w:top w:w="0" w:type="dxa"/>
            <w:left w:w="108" w:type="dxa"/>
            <w:bottom w:w="0" w:type="dxa"/>
            <w:right w:w="108" w:type="dxa"/>
          </w:tblCellMar>
        </w:tblPrEx>
        <w:trPr>
          <w:trHeight w:val="498" w:hRule="atLeast"/>
          <w:jc w:val="center"/>
        </w:trPr>
        <w:tc>
          <w:tcPr>
            <w:tcW w:w="695" w:type="dxa"/>
            <w:tcBorders>
              <w:top w:val="nil"/>
              <w:left w:val="single" w:color="000000" w:sz="8" w:space="0"/>
              <w:bottom w:val="single" w:color="000000" w:sz="8" w:space="0"/>
              <w:right w:val="single" w:color="000000" w:sz="8" w:space="0"/>
            </w:tcBorders>
            <w:noWrap/>
            <w:vAlign w:val="center"/>
          </w:tcPr>
          <w:p w14:paraId="1C1EA4A7">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十</w:t>
            </w:r>
          </w:p>
        </w:tc>
        <w:tc>
          <w:tcPr>
            <w:tcW w:w="1304" w:type="dxa"/>
            <w:tcBorders>
              <w:top w:val="nil"/>
              <w:left w:val="nil"/>
              <w:bottom w:val="single" w:color="000000" w:sz="8" w:space="0"/>
              <w:right w:val="single" w:color="000000" w:sz="8" w:space="0"/>
            </w:tcBorders>
            <w:noWrap/>
            <w:vAlign w:val="center"/>
          </w:tcPr>
          <w:p w14:paraId="5F748F68">
            <w:pPr>
              <w:widowControl/>
              <w:spacing w:line="440" w:lineRule="exac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合理利润</w:t>
            </w:r>
          </w:p>
        </w:tc>
        <w:tc>
          <w:tcPr>
            <w:tcW w:w="2386" w:type="dxa"/>
            <w:tcBorders>
              <w:top w:val="nil"/>
              <w:left w:val="nil"/>
              <w:bottom w:val="single" w:color="000000" w:sz="8" w:space="0"/>
              <w:right w:val="single" w:color="000000" w:sz="8" w:space="0"/>
            </w:tcBorders>
            <w:noWrap/>
            <w:vAlign w:val="center"/>
          </w:tcPr>
          <w:p w14:paraId="2094BF16">
            <w:pPr>
              <w:widowControl/>
              <w:spacing w:line="440" w:lineRule="exac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（一+…+九）×%</w:t>
            </w:r>
          </w:p>
        </w:tc>
        <w:tc>
          <w:tcPr>
            <w:tcW w:w="1392" w:type="dxa"/>
            <w:tcBorders>
              <w:top w:val="nil"/>
              <w:left w:val="nil"/>
              <w:bottom w:val="single" w:color="000000" w:sz="8" w:space="0"/>
              <w:right w:val="single" w:color="000000" w:sz="8" w:space="0"/>
            </w:tcBorders>
            <w:noWrap/>
            <w:vAlign w:val="center"/>
          </w:tcPr>
          <w:p w14:paraId="5BD55AD1">
            <w:pPr>
              <w:widowControl/>
              <w:spacing w:line="440" w:lineRule="exact"/>
              <w:textAlignment w:val="center"/>
              <w:rPr>
                <w:rFonts w:ascii="宋体" w:hAnsi="宋体" w:cs="宋体"/>
                <w:color w:val="auto"/>
                <w:szCs w:val="21"/>
                <w:highlight w:val="none"/>
              </w:rPr>
            </w:pPr>
          </w:p>
        </w:tc>
        <w:tc>
          <w:tcPr>
            <w:tcW w:w="1365" w:type="dxa"/>
            <w:tcBorders>
              <w:top w:val="nil"/>
              <w:left w:val="nil"/>
              <w:bottom w:val="single" w:color="000000" w:sz="8" w:space="0"/>
              <w:right w:val="single" w:color="000000" w:sz="8" w:space="0"/>
            </w:tcBorders>
            <w:noWrap/>
            <w:vAlign w:val="center"/>
          </w:tcPr>
          <w:p w14:paraId="6AD504EB">
            <w:pPr>
              <w:widowControl/>
              <w:spacing w:line="440" w:lineRule="exact"/>
              <w:textAlignment w:val="center"/>
              <w:rPr>
                <w:rFonts w:ascii="宋体" w:hAnsi="宋体" w:cs="宋体"/>
                <w:color w:val="auto"/>
                <w:szCs w:val="21"/>
                <w:highlight w:val="none"/>
              </w:rPr>
            </w:pPr>
          </w:p>
        </w:tc>
        <w:tc>
          <w:tcPr>
            <w:tcW w:w="1521" w:type="dxa"/>
            <w:tcBorders>
              <w:top w:val="nil"/>
              <w:left w:val="nil"/>
              <w:bottom w:val="single" w:color="000000" w:sz="8" w:space="0"/>
              <w:right w:val="single" w:color="000000" w:sz="8" w:space="0"/>
            </w:tcBorders>
            <w:noWrap/>
            <w:vAlign w:val="center"/>
          </w:tcPr>
          <w:p w14:paraId="7CDCF4EF">
            <w:pPr>
              <w:spacing w:line="440" w:lineRule="exact"/>
              <w:rPr>
                <w:rFonts w:ascii="宋体" w:hAnsi="宋体" w:cs="宋体"/>
                <w:color w:val="auto"/>
                <w:szCs w:val="21"/>
                <w:highlight w:val="none"/>
              </w:rPr>
            </w:pPr>
          </w:p>
        </w:tc>
      </w:tr>
      <w:tr w14:paraId="51F32844">
        <w:tblPrEx>
          <w:tblCellMar>
            <w:top w:w="0" w:type="dxa"/>
            <w:left w:w="108" w:type="dxa"/>
            <w:bottom w:w="0" w:type="dxa"/>
            <w:right w:w="108" w:type="dxa"/>
          </w:tblCellMar>
        </w:tblPrEx>
        <w:trPr>
          <w:trHeight w:val="517" w:hRule="atLeast"/>
          <w:jc w:val="center"/>
        </w:trPr>
        <w:tc>
          <w:tcPr>
            <w:tcW w:w="695" w:type="dxa"/>
            <w:tcBorders>
              <w:top w:val="single" w:color="000000" w:sz="8" w:space="0"/>
              <w:left w:val="single" w:color="000000" w:sz="8" w:space="0"/>
              <w:bottom w:val="single" w:color="000000" w:sz="8" w:space="0"/>
              <w:right w:val="single" w:color="000000" w:sz="8" w:space="0"/>
            </w:tcBorders>
            <w:noWrap/>
            <w:vAlign w:val="center"/>
          </w:tcPr>
          <w:p w14:paraId="2053414A">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十一</w:t>
            </w:r>
          </w:p>
        </w:tc>
        <w:tc>
          <w:tcPr>
            <w:tcW w:w="1304" w:type="dxa"/>
            <w:tcBorders>
              <w:top w:val="single" w:color="000000" w:sz="8" w:space="0"/>
              <w:left w:val="single" w:color="000000" w:sz="8" w:space="0"/>
              <w:bottom w:val="single" w:color="000000" w:sz="8" w:space="0"/>
              <w:right w:val="single" w:color="000000" w:sz="8" w:space="0"/>
            </w:tcBorders>
            <w:noWrap/>
            <w:vAlign w:val="center"/>
          </w:tcPr>
          <w:p w14:paraId="68FAB12D">
            <w:pPr>
              <w:widowControl/>
              <w:spacing w:line="440" w:lineRule="exac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法定税金</w:t>
            </w:r>
          </w:p>
        </w:tc>
        <w:tc>
          <w:tcPr>
            <w:tcW w:w="2386" w:type="dxa"/>
            <w:tcBorders>
              <w:top w:val="single" w:color="000000" w:sz="8" w:space="0"/>
              <w:left w:val="single" w:color="000000" w:sz="8" w:space="0"/>
              <w:bottom w:val="single" w:color="000000" w:sz="8" w:space="0"/>
              <w:right w:val="single" w:color="000000" w:sz="8" w:space="0"/>
            </w:tcBorders>
            <w:noWrap/>
            <w:vAlign w:val="center"/>
          </w:tcPr>
          <w:p w14:paraId="51493528">
            <w:pPr>
              <w:widowControl/>
              <w:spacing w:line="440" w:lineRule="exact"/>
              <w:textAlignment w:val="center"/>
              <w:rPr>
                <w:rFonts w:ascii="宋体" w:hAnsi="宋体" w:cs="宋体"/>
                <w:color w:val="auto"/>
                <w:highlight w:val="none"/>
              </w:rPr>
            </w:pPr>
            <w:r>
              <w:rPr>
                <w:rFonts w:hint="eastAsia" w:ascii="宋体" w:hAnsi="宋体" w:cs="宋体"/>
                <w:b/>
                <w:bCs/>
                <w:color w:val="auto"/>
                <w:kern w:val="0"/>
                <w:szCs w:val="21"/>
                <w:highlight w:val="none"/>
              </w:rPr>
              <w:t>（一+…+十）×%</w:t>
            </w:r>
          </w:p>
        </w:tc>
        <w:tc>
          <w:tcPr>
            <w:tcW w:w="1392" w:type="dxa"/>
            <w:tcBorders>
              <w:top w:val="single" w:color="000000" w:sz="8" w:space="0"/>
              <w:left w:val="single" w:color="000000" w:sz="8" w:space="0"/>
              <w:bottom w:val="single" w:color="000000" w:sz="8" w:space="0"/>
              <w:right w:val="single" w:color="auto" w:sz="4" w:space="0"/>
            </w:tcBorders>
            <w:noWrap/>
            <w:vAlign w:val="center"/>
          </w:tcPr>
          <w:p w14:paraId="46ED3254">
            <w:pPr>
              <w:widowControl/>
              <w:spacing w:line="440" w:lineRule="exact"/>
              <w:textAlignment w:val="center"/>
              <w:rPr>
                <w:rFonts w:ascii="宋体" w:hAnsi="宋体" w:cs="宋体"/>
                <w:color w:val="auto"/>
                <w:szCs w:val="21"/>
                <w:highlight w:val="none"/>
              </w:rPr>
            </w:pPr>
          </w:p>
        </w:tc>
        <w:tc>
          <w:tcPr>
            <w:tcW w:w="1365" w:type="dxa"/>
            <w:tcBorders>
              <w:top w:val="single" w:color="000000" w:sz="8" w:space="0"/>
              <w:left w:val="single" w:color="auto" w:sz="4" w:space="0"/>
              <w:bottom w:val="single" w:color="000000" w:sz="8" w:space="0"/>
              <w:right w:val="single" w:color="auto" w:sz="4" w:space="0"/>
            </w:tcBorders>
            <w:noWrap/>
            <w:vAlign w:val="center"/>
          </w:tcPr>
          <w:p w14:paraId="75E62146">
            <w:pPr>
              <w:widowControl/>
              <w:spacing w:line="440" w:lineRule="exact"/>
              <w:textAlignment w:val="center"/>
              <w:rPr>
                <w:rFonts w:ascii="宋体" w:hAnsi="宋体" w:cs="宋体"/>
                <w:color w:val="auto"/>
                <w:szCs w:val="21"/>
                <w:highlight w:val="none"/>
              </w:rPr>
            </w:pPr>
          </w:p>
        </w:tc>
        <w:tc>
          <w:tcPr>
            <w:tcW w:w="1521" w:type="dxa"/>
            <w:tcBorders>
              <w:top w:val="single" w:color="000000" w:sz="8" w:space="0"/>
              <w:left w:val="single" w:color="auto" w:sz="4" w:space="0"/>
              <w:bottom w:val="single" w:color="000000" w:sz="8" w:space="0"/>
              <w:right w:val="single" w:color="000000" w:sz="8" w:space="0"/>
            </w:tcBorders>
            <w:noWrap/>
            <w:vAlign w:val="center"/>
          </w:tcPr>
          <w:p w14:paraId="19E7EEA7">
            <w:pPr>
              <w:spacing w:line="440" w:lineRule="exact"/>
              <w:rPr>
                <w:rFonts w:ascii="宋体" w:hAnsi="宋体" w:cs="宋体"/>
                <w:color w:val="auto"/>
                <w:szCs w:val="21"/>
                <w:highlight w:val="none"/>
              </w:rPr>
            </w:pPr>
          </w:p>
        </w:tc>
      </w:tr>
      <w:tr w14:paraId="4E7B9692">
        <w:tblPrEx>
          <w:tblCellMar>
            <w:top w:w="0" w:type="dxa"/>
            <w:left w:w="108" w:type="dxa"/>
            <w:bottom w:w="0" w:type="dxa"/>
            <w:right w:w="108" w:type="dxa"/>
          </w:tblCellMar>
        </w:tblPrEx>
        <w:trPr>
          <w:trHeight w:val="517" w:hRule="atLeast"/>
          <w:jc w:val="center"/>
        </w:trPr>
        <w:tc>
          <w:tcPr>
            <w:tcW w:w="695" w:type="dxa"/>
            <w:tcBorders>
              <w:top w:val="single" w:color="000000" w:sz="8" w:space="0"/>
              <w:left w:val="single" w:color="000000" w:sz="8" w:space="0"/>
              <w:bottom w:val="single" w:color="000000" w:sz="8" w:space="0"/>
              <w:right w:val="single" w:color="000000" w:sz="8" w:space="0"/>
            </w:tcBorders>
            <w:noWrap/>
            <w:vAlign w:val="center"/>
          </w:tcPr>
          <w:p w14:paraId="7B38B7B2">
            <w:pPr>
              <w:widowControl/>
              <w:spacing w:line="440" w:lineRule="exact"/>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十二</w:t>
            </w:r>
          </w:p>
        </w:tc>
        <w:tc>
          <w:tcPr>
            <w:tcW w:w="3690" w:type="dxa"/>
            <w:gridSpan w:val="2"/>
            <w:tcBorders>
              <w:top w:val="single" w:color="000000" w:sz="8" w:space="0"/>
              <w:left w:val="single" w:color="000000" w:sz="8" w:space="0"/>
              <w:bottom w:val="single" w:color="000000" w:sz="8" w:space="0"/>
              <w:right w:val="single" w:color="000000" w:sz="8" w:space="0"/>
            </w:tcBorders>
            <w:noWrap/>
            <w:vAlign w:val="center"/>
          </w:tcPr>
          <w:p w14:paraId="08D8249A">
            <w:pPr>
              <w:widowControl/>
              <w:spacing w:line="440" w:lineRule="exact"/>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合计（元）</w:t>
            </w:r>
          </w:p>
        </w:tc>
        <w:tc>
          <w:tcPr>
            <w:tcW w:w="2757" w:type="dxa"/>
            <w:gridSpan w:val="2"/>
            <w:tcBorders>
              <w:top w:val="single" w:color="000000" w:sz="8" w:space="0"/>
              <w:left w:val="single" w:color="000000" w:sz="8" w:space="0"/>
              <w:bottom w:val="single" w:color="000000" w:sz="8" w:space="0"/>
              <w:right w:val="single" w:color="auto" w:sz="4" w:space="0"/>
            </w:tcBorders>
            <w:noWrap/>
            <w:vAlign w:val="center"/>
          </w:tcPr>
          <w:p w14:paraId="2940D604">
            <w:pPr>
              <w:widowControl/>
              <w:spacing w:line="440" w:lineRule="exact"/>
              <w:jc w:val="center"/>
              <w:textAlignment w:val="center"/>
              <w:rPr>
                <w:rFonts w:ascii="宋体" w:hAnsi="宋体" w:cs="宋体"/>
                <w:color w:val="auto"/>
                <w:kern w:val="0"/>
                <w:szCs w:val="21"/>
                <w:highlight w:val="none"/>
              </w:rPr>
            </w:pPr>
          </w:p>
        </w:tc>
        <w:tc>
          <w:tcPr>
            <w:tcW w:w="1521" w:type="dxa"/>
            <w:tcBorders>
              <w:top w:val="single" w:color="000000" w:sz="8" w:space="0"/>
              <w:left w:val="single" w:color="auto" w:sz="4" w:space="0"/>
              <w:bottom w:val="single" w:color="000000" w:sz="8" w:space="0"/>
              <w:right w:val="single" w:color="000000" w:sz="8" w:space="0"/>
            </w:tcBorders>
            <w:noWrap/>
            <w:vAlign w:val="center"/>
          </w:tcPr>
          <w:p w14:paraId="2ADFC5A7">
            <w:pPr>
              <w:spacing w:line="440" w:lineRule="exact"/>
              <w:rPr>
                <w:rFonts w:ascii="宋体" w:hAnsi="宋体" w:cs="宋体"/>
                <w:b/>
                <w:bCs/>
                <w:color w:val="auto"/>
                <w:szCs w:val="21"/>
                <w:highlight w:val="none"/>
              </w:rPr>
            </w:pPr>
            <w:r>
              <w:rPr>
                <w:rFonts w:hint="eastAsia" w:ascii="宋体" w:hAnsi="宋体" w:cs="宋体"/>
                <w:color w:val="auto"/>
                <w:kern w:val="0"/>
                <w:szCs w:val="21"/>
                <w:highlight w:val="none"/>
              </w:rPr>
              <w:t>（四个月费用+一次性费用）</w:t>
            </w:r>
          </w:p>
        </w:tc>
      </w:tr>
    </w:tbl>
    <w:p w14:paraId="6F55DF77">
      <w:pPr>
        <w:pStyle w:val="9"/>
        <w:spacing w:after="0" w:line="440" w:lineRule="exact"/>
        <w:rPr>
          <w:rFonts w:ascii="宋体" w:hAnsi="宋体" w:cs="宋体"/>
          <w:color w:val="auto"/>
          <w:highlight w:val="none"/>
        </w:rPr>
      </w:pPr>
    </w:p>
    <w:p w14:paraId="09E203F1">
      <w:pPr>
        <w:pStyle w:val="9"/>
        <w:spacing w:after="0" w:line="440" w:lineRule="exact"/>
        <w:rPr>
          <w:rFonts w:ascii="宋体" w:hAnsi="宋体" w:cs="宋体"/>
          <w:color w:val="auto"/>
          <w:highlight w:val="none"/>
        </w:rPr>
      </w:pPr>
      <w:r>
        <w:rPr>
          <w:rFonts w:hint="eastAsia" w:ascii="宋体" w:hAnsi="宋体" w:cs="宋体"/>
          <w:color w:val="auto"/>
          <w:highlight w:val="none"/>
        </w:rPr>
        <w:t>注：1、前期介入服务费总价包干，如前期介入期限不止四个月，招标人不再额外支付费用，投标人自行考虑报价。</w:t>
      </w:r>
    </w:p>
    <w:p w14:paraId="20D7264C">
      <w:pPr>
        <w:pStyle w:val="9"/>
        <w:spacing w:after="0" w:line="440" w:lineRule="exact"/>
        <w:ind w:firstLine="560" w:firstLineChars="200"/>
        <w:rPr>
          <w:rFonts w:ascii="宋体" w:hAnsi="宋体" w:cs="宋体"/>
          <w:color w:val="auto"/>
          <w:highlight w:val="none"/>
        </w:rPr>
      </w:pPr>
      <w:r>
        <w:rPr>
          <w:rFonts w:hint="eastAsia" w:ascii="宋体" w:hAnsi="宋体" w:cs="宋体"/>
          <w:color w:val="auto"/>
          <w:highlight w:val="none"/>
        </w:rPr>
        <w:t>2、前期介入费包括但不限于以上内容，如存在其他服务项目需在《前期介入费明细表》中第九项‘其他’内容处自行添加，如后续服务实际发生其他费用，招标人不再额外支付费用。</w:t>
      </w:r>
    </w:p>
    <w:p w14:paraId="48EA2C79">
      <w:pPr>
        <w:spacing w:line="440" w:lineRule="exact"/>
        <w:ind w:firstLine="422" w:firstLineChars="200"/>
        <w:rPr>
          <w:rFonts w:hint="eastAsia" w:ascii="宋体" w:hAnsi="宋体" w:cs="宋体"/>
          <w:b/>
          <w:bCs/>
          <w:color w:val="auto"/>
          <w:szCs w:val="21"/>
          <w:highlight w:val="none"/>
        </w:rPr>
      </w:pPr>
    </w:p>
    <w:p w14:paraId="378127FE">
      <w:pPr>
        <w:spacing w:line="440" w:lineRule="exact"/>
        <w:ind w:firstLine="422" w:firstLineChars="200"/>
        <w:rPr>
          <w:rFonts w:hint="eastAsia" w:ascii="宋体" w:hAnsi="宋体" w:cs="宋体"/>
          <w:b/>
          <w:bCs/>
          <w:color w:val="auto"/>
          <w:szCs w:val="21"/>
          <w:highlight w:val="none"/>
        </w:rPr>
      </w:pPr>
    </w:p>
    <w:p w14:paraId="68815681">
      <w:pPr>
        <w:spacing w:line="440" w:lineRule="exact"/>
        <w:rPr>
          <w:rFonts w:ascii="宋体" w:hAnsi="宋体" w:cs="宋体"/>
          <w:color w:val="auto"/>
          <w:szCs w:val="21"/>
          <w:highlight w:val="none"/>
        </w:rPr>
      </w:pPr>
      <w:r>
        <w:rPr>
          <w:rFonts w:hint="eastAsia" w:ascii="宋体" w:hAnsi="宋体" w:cs="宋体"/>
          <w:b/>
          <w:bCs/>
          <w:color w:val="auto"/>
          <w:szCs w:val="21"/>
          <w:highlight w:val="none"/>
        </w:rPr>
        <w:t>附件1：开荒费明细</w:t>
      </w:r>
    </w:p>
    <w:tbl>
      <w:tblPr>
        <w:tblStyle w:val="22"/>
        <w:tblW w:w="8810" w:type="dxa"/>
        <w:jc w:val="center"/>
        <w:tblLayout w:type="autofit"/>
        <w:tblCellMar>
          <w:top w:w="0" w:type="dxa"/>
          <w:left w:w="108" w:type="dxa"/>
          <w:bottom w:w="0" w:type="dxa"/>
          <w:right w:w="108" w:type="dxa"/>
        </w:tblCellMar>
      </w:tblPr>
      <w:tblGrid>
        <w:gridCol w:w="695"/>
        <w:gridCol w:w="1140"/>
        <w:gridCol w:w="2960"/>
        <w:gridCol w:w="2959"/>
        <w:gridCol w:w="1056"/>
      </w:tblGrid>
      <w:tr w14:paraId="010D70DA">
        <w:tblPrEx>
          <w:tblCellMar>
            <w:top w:w="0" w:type="dxa"/>
            <w:left w:w="108" w:type="dxa"/>
            <w:bottom w:w="0" w:type="dxa"/>
            <w:right w:w="108" w:type="dxa"/>
          </w:tblCellMar>
        </w:tblPrEx>
        <w:trPr>
          <w:trHeight w:val="442" w:hRule="exact"/>
          <w:jc w:val="center"/>
        </w:trPr>
        <w:tc>
          <w:tcPr>
            <w:tcW w:w="695" w:type="dxa"/>
            <w:tcBorders>
              <w:top w:val="single" w:color="000000" w:sz="8" w:space="0"/>
              <w:left w:val="single" w:color="000000" w:sz="8" w:space="0"/>
              <w:bottom w:val="single" w:color="000000" w:sz="8" w:space="0"/>
              <w:right w:val="single" w:color="000000" w:sz="8" w:space="0"/>
            </w:tcBorders>
            <w:noWrap/>
            <w:vAlign w:val="center"/>
          </w:tcPr>
          <w:p w14:paraId="295C09B8">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序号</w:t>
            </w:r>
          </w:p>
        </w:tc>
        <w:tc>
          <w:tcPr>
            <w:tcW w:w="1140" w:type="dxa"/>
            <w:tcBorders>
              <w:top w:val="single" w:color="000000" w:sz="8" w:space="0"/>
              <w:left w:val="nil"/>
              <w:bottom w:val="single" w:color="000000" w:sz="8" w:space="0"/>
              <w:right w:val="single" w:color="000000" w:sz="8" w:space="0"/>
            </w:tcBorders>
            <w:noWrap/>
            <w:vAlign w:val="center"/>
          </w:tcPr>
          <w:p w14:paraId="1DD8115E">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项目</w:t>
            </w:r>
          </w:p>
        </w:tc>
        <w:tc>
          <w:tcPr>
            <w:tcW w:w="2960" w:type="dxa"/>
            <w:tcBorders>
              <w:top w:val="single" w:color="000000" w:sz="8" w:space="0"/>
              <w:left w:val="nil"/>
              <w:bottom w:val="single" w:color="000000" w:sz="8" w:space="0"/>
              <w:right w:val="single" w:color="000000" w:sz="8" w:space="0"/>
            </w:tcBorders>
            <w:noWrap/>
            <w:vAlign w:val="center"/>
          </w:tcPr>
          <w:p w14:paraId="605D7BFE">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测算依据及公式</w:t>
            </w:r>
          </w:p>
        </w:tc>
        <w:tc>
          <w:tcPr>
            <w:tcW w:w="2959" w:type="dxa"/>
            <w:tcBorders>
              <w:top w:val="single" w:color="000000" w:sz="8" w:space="0"/>
              <w:left w:val="nil"/>
              <w:bottom w:val="single" w:color="000000" w:sz="8" w:space="0"/>
              <w:right w:val="single" w:color="000000" w:sz="8" w:space="0"/>
            </w:tcBorders>
            <w:noWrap/>
            <w:vAlign w:val="center"/>
          </w:tcPr>
          <w:p w14:paraId="5FC3CC85">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总支出（元）</w:t>
            </w:r>
          </w:p>
        </w:tc>
        <w:tc>
          <w:tcPr>
            <w:tcW w:w="1056" w:type="dxa"/>
            <w:tcBorders>
              <w:top w:val="single" w:color="000000" w:sz="8" w:space="0"/>
              <w:left w:val="nil"/>
              <w:bottom w:val="single" w:color="000000" w:sz="8" w:space="0"/>
              <w:right w:val="single" w:color="000000" w:sz="8" w:space="0"/>
            </w:tcBorders>
            <w:noWrap/>
            <w:vAlign w:val="center"/>
          </w:tcPr>
          <w:p w14:paraId="5396FEEE">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备注</w:t>
            </w:r>
          </w:p>
        </w:tc>
      </w:tr>
      <w:tr w14:paraId="71AC73D8">
        <w:tblPrEx>
          <w:tblCellMar>
            <w:top w:w="0" w:type="dxa"/>
            <w:left w:w="108" w:type="dxa"/>
            <w:bottom w:w="0" w:type="dxa"/>
            <w:right w:w="108" w:type="dxa"/>
          </w:tblCellMar>
        </w:tblPrEx>
        <w:trPr>
          <w:trHeight w:val="442" w:hRule="exact"/>
          <w:jc w:val="center"/>
        </w:trPr>
        <w:tc>
          <w:tcPr>
            <w:tcW w:w="695" w:type="dxa"/>
            <w:tcBorders>
              <w:top w:val="nil"/>
              <w:left w:val="single" w:color="000000" w:sz="8" w:space="0"/>
              <w:bottom w:val="single" w:color="000000" w:sz="8" w:space="0"/>
              <w:right w:val="single" w:color="000000" w:sz="8" w:space="0"/>
            </w:tcBorders>
            <w:noWrap/>
            <w:vAlign w:val="center"/>
          </w:tcPr>
          <w:p w14:paraId="791B42D1">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1</w:t>
            </w:r>
          </w:p>
        </w:tc>
        <w:tc>
          <w:tcPr>
            <w:tcW w:w="1140" w:type="dxa"/>
            <w:tcBorders>
              <w:top w:val="nil"/>
              <w:left w:val="nil"/>
              <w:bottom w:val="single" w:color="000000" w:sz="8" w:space="0"/>
              <w:right w:val="single" w:color="000000" w:sz="8" w:space="0"/>
            </w:tcBorders>
            <w:noWrap/>
            <w:vAlign w:val="center"/>
          </w:tcPr>
          <w:p w14:paraId="46E5D365">
            <w:pPr>
              <w:widowControl/>
              <w:spacing w:line="440" w:lineRule="exact"/>
              <w:textAlignment w:val="center"/>
              <w:rPr>
                <w:rFonts w:ascii="宋体" w:hAnsi="宋体" w:cs="宋体"/>
                <w:b/>
                <w:bCs/>
                <w:color w:val="auto"/>
                <w:kern w:val="0"/>
                <w:szCs w:val="21"/>
                <w:highlight w:val="none"/>
              </w:rPr>
            </w:pPr>
            <w:r>
              <w:rPr>
                <w:rFonts w:hint="eastAsia" w:ascii="宋体" w:hAnsi="宋体" w:cs="宋体"/>
                <w:color w:val="auto"/>
                <w:szCs w:val="21"/>
                <w:highlight w:val="none"/>
              </w:rPr>
              <w:t>现场管理</w:t>
            </w:r>
          </w:p>
        </w:tc>
        <w:tc>
          <w:tcPr>
            <w:tcW w:w="2960" w:type="dxa"/>
            <w:tcBorders>
              <w:top w:val="nil"/>
              <w:left w:val="nil"/>
              <w:bottom w:val="single" w:color="000000" w:sz="8" w:space="0"/>
              <w:right w:val="single" w:color="000000" w:sz="8" w:space="0"/>
            </w:tcBorders>
            <w:noWrap/>
            <w:vAlign w:val="center"/>
          </w:tcPr>
          <w:p w14:paraId="50C149F3">
            <w:pPr>
              <w:widowControl/>
              <w:spacing w:line="440" w:lineRule="exact"/>
              <w:jc w:val="left"/>
              <w:textAlignment w:val="center"/>
              <w:rPr>
                <w:rFonts w:ascii="宋体" w:hAnsi="宋体" w:cs="宋体"/>
                <w:color w:val="auto"/>
                <w:szCs w:val="21"/>
                <w:highlight w:val="none"/>
                <w:u w:val="single"/>
              </w:rPr>
            </w:pPr>
            <w:r>
              <w:rPr>
                <w:rFonts w:hint="eastAsia" w:ascii="宋体" w:hAnsi="宋体" w:cs="宋体"/>
                <w:color w:val="auto"/>
                <w:szCs w:val="21"/>
                <w:highlight w:val="none"/>
              </w:rPr>
              <w:t>人</w:t>
            </w:r>
            <w:r>
              <w:rPr>
                <w:rFonts w:hint="eastAsia" w:ascii="宋体" w:hAnsi="宋体" w:cs="宋体"/>
                <w:color w:val="auto"/>
                <w:kern w:val="0"/>
                <w:szCs w:val="21"/>
                <w:highlight w:val="none"/>
              </w:rPr>
              <w:t>×天×元/天</w:t>
            </w:r>
          </w:p>
        </w:tc>
        <w:tc>
          <w:tcPr>
            <w:tcW w:w="2959" w:type="dxa"/>
            <w:tcBorders>
              <w:top w:val="nil"/>
              <w:left w:val="nil"/>
              <w:bottom w:val="single" w:color="000000" w:sz="8" w:space="0"/>
              <w:right w:val="single" w:color="000000" w:sz="8" w:space="0"/>
            </w:tcBorders>
            <w:noWrap/>
            <w:vAlign w:val="center"/>
          </w:tcPr>
          <w:p w14:paraId="5792518A">
            <w:pPr>
              <w:widowControl/>
              <w:spacing w:line="440" w:lineRule="exact"/>
              <w:textAlignment w:val="center"/>
              <w:rPr>
                <w:rFonts w:ascii="宋体" w:hAnsi="宋体" w:cs="宋体"/>
                <w:color w:val="auto"/>
                <w:szCs w:val="21"/>
                <w:highlight w:val="none"/>
              </w:rPr>
            </w:pPr>
          </w:p>
        </w:tc>
        <w:tc>
          <w:tcPr>
            <w:tcW w:w="1056" w:type="dxa"/>
            <w:tcBorders>
              <w:top w:val="nil"/>
              <w:left w:val="nil"/>
              <w:bottom w:val="single" w:color="000000" w:sz="8" w:space="0"/>
              <w:right w:val="single" w:color="000000" w:sz="8" w:space="0"/>
            </w:tcBorders>
            <w:noWrap/>
            <w:vAlign w:val="center"/>
          </w:tcPr>
          <w:p w14:paraId="5E9B6E94">
            <w:pPr>
              <w:spacing w:line="440" w:lineRule="exact"/>
              <w:rPr>
                <w:rFonts w:ascii="宋体" w:hAnsi="宋体" w:cs="宋体"/>
                <w:color w:val="auto"/>
                <w:szCs w:val="21"/>
                <w:highlight w:val="none"/>
              </w:rPr>
            </w:pPr>
          </w:p>
        </w:tc>
      </w:tr>
      <w:tr w14:paraId="7BC24F11">
        <w:tblPrEx>
          <w:tblCellMar>
            <w:top w:w="0" w:type="dxa"/>
            <w:left w:w="108" w:type="dxa"/>
            <w:bottom w:w="0" w:type="dxa"/>
            <w:right w:w="108" w:type="dxa"/>
          </w:tblCellMar>
        </w:tblPrEx>
        <w:trPr>
          <w:trHeight w:val="442" w:hRule="exact"/>
          <w:jc w:val="center"/>
        </w:trPr>
        <w:tc>
          <w:tcPr>
            <w:tcW w:w="695" w:type="dxa"/>
            <w:tcBorders>
              <w:top w:val="nil"/>
              <w:left w:val="single" w:color="000000" w:sz="8" w:space="0"/>
              <w:bottom w:val="single" w:color="000000" w:sz="8" w:space="0"/>
              <w:right w:val="single" w:color="000000" w:sz="8" w:space="0"/>
            </w:tcBorders>
            <w:noWrap/>
            <w:vAlign w:val="center"/>
          </w:tcPr>
          <w:p w14:paraId="1FF61BBA">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2</w:t>
            </w:r>
          </w:p>
        </w:tc>
        <w:tc>
          <w:tcPr>
            <w:tcW w:w="1140" w:type="dxa"/>
            <w:tcBorders>
              <w:top w:val="nil"/>
              <w:left w:val="nil"/>
              <w:bottom w:val="single" w:color="000000" w:sz="8" w:space="0"/>
              <w:right w:val="single" w:color="000000" w:sz="8" w:space="0"/>
            </w:tcBorders>
            <w:noWrap/>
            <w:vAlign w:val="center"/>
          </w:tcPr>
          <w:p w14:paraId="1E6E9F89">
            <w:pPr>
              <w:widowControl/>
              <w:spacing w:line="440" w:lineRule="exact"/>
              <w:textAlignment w:val="center"/>
              <w:rPr>
                <w:rFonts w:ascii="宋体" w:hAnsi="宋体" w:cs="宋体"/>
                <w:color w:val="auto"/>
                <w:szCs w:val="21"/>
                <w:highlight w:val="none"/>
              </w:rPr>
            </w:pPr>
            <w:r>
              <w:rPr>
                <w:rFonts w:hint="eastAsia" w:ascii="宋体" w:hAnsi="宋体" w:cs="宋体"/>
                <w:color w:val="auto"/>
                <w:kern w:val="0"/>
                <w:szCs w:val="21"/>
                <w:highlight w:val="none"/>
              </w:rPr>
              <w:t>人员工资</w:t>
            </w:r>
          </w:p>
        </w:tc>
        <w:tc>
          <w:tcPr>
            <w:tcW w:w="2960" w:type="dxa"/>
            <w:tcBorders>
              <w:top w:val="nil"/>
              <w:left w:val="nil"/>
              <w:bottom w:val="single" w:color="000000" w:sz="8" w:space="0"/>
              <w:right w:val="single" w:color="000000" w:sz="8" w:space="0"/>
            </w:tcBorders>
            <w:noWrap/>
            <w:vAlign w:val="center"/>
          </w:tcPr>
          <w:p w14:paraId="2C2AE5EC">
            <w:pPr>
              <w:widowControl/>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人</w:t>
            </w:r>
            <w:r>
              <w:rPr>
                <w:rFonts w:hint="eastAsia" w:ascii="宋体" w:hAnsi="宋体" w:cs="宋体"/>
                <w:color w:val="auto"/>
                <w:kern w:val="0"/>
                <w:szCs w:val="21"/>
                <w:highlight w:val="none"/>
              </w:rPr>
              <w:t>×天×元/天</w:t>
            </w:r>
          </w:p>
        </w:tc>
        <w:tc>
          <w:tcPr>
            <w:tcW w:w="2959" w:type="dxa"/>
            <w:tcBorders>
              <w:top w:val="nil"/>
              <w:left w:val="nil"/>
              <w:bottom w:val="single" w:color="000000" w:sz="8" w:space="0"/>
              <w:right w:val="single" w:color="000000" w:sz="8" w:space="0"/>
            </w:tcBorders>
            <w:noWrap/>
            <w:vAlign w:val="center"/>
          </w:tcPr>
          <w:p w14:paraId="6F376C90">
            <w:pPr>
              <w:widowControl/>
              <w:spacing w:line="440" w:lineRule="exact"/>
              <w:textAlignment w:val="center"/>
              <w:rPr>
                <w:rFonts w:ascii="宋体" w:hAnsi="宋体" w:cs="宋体"/>
                <w:color w:val="auto"/>
                <w:szCs w:val="21"/>
                <w:highlight w:val="none"/>
              </w:rPr>
            </w:pPr>
          </w:p>
        </w:tc>
        <w:tc>
          <w:tcPr>
            <w:tcW w:w="1056" w:type="dxa"/>
            <w:tcBorders>
              <w:top w:val="nil"/>
              <w:left w:val="nil"/>
              <w:bottom w:val="single" w:color="000000" w:sz="8" w:space="0"/>
              <w:right w:val="single" w:color="000000" w:sz="8" w:space="0"/>
            </w:tcBorders>
            <w:noWrap/>
            <w:vAlign w:val="center"/>
          </w:tcPr>
          <w:p w14:paraId="195AB4BF">
            <w:pPr>
              <w:spacing w:line="440" w:lineRule="exact"/>
              <w:rPr>
                <w:rFonts w:ascii="宋体" w:hAnsi="宋体" w:cs="宋体"/>
                <w:color w:val="auto"/>
                <w:szCs w:val="21"/>
                <w:highlight w:val="none"/>
              </w:rPr>
            </w:pPr>
          </w:p>
        </w:tc>
      </w:tr>
      <w:tr w14:paraId="069B7EEA">
        <w:tblPrEx>
          <w:tblCellMar>
            <w:top w:w="0" w:type="dxa"/>
            <w:left w:w="108" w:type="dxa"/>
            <w:bottom w:w="0" w:type="dxa"/>
            <w:right w:w="108" w:type="dxa"/>
          </w:tblCellMar>
        </w:tblPrEx>
        <w:trPr>
          <w:trHeight w:val="442" w:hRule="exact"/>
          <w:jc w:val="center"/>
        </w:trPr>
        <w:tc>
          <w:tcPr>
            <w:tcW w:w="695" w:type="dxa"/>
            <w:tcBorders>
              <w:top w:val="nil"/>
              <w:left w:val="single" w:color="000000" w:sz="8" w:space="0"/>
              <w:bottom w:val="single" w:color="000000" w:sz="8" w:space="0"/>
              <w:right w:val="single" w:color="000000" w:sz="8" w:space="0"/>
            </w:tcBorders>
            <w:noWrap/>
            <w:vAlign w:val="center"/>
          </w:tcPr>
          <w:p w14:paraId="21AC03E4">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szCs w:val="21"/>
                <w:highlight w:val="none"/>
              </w:rPr>
              <w:t>3</w:t>
            </w:r>
          </w:p>
        </w:tc>
        <w:tc>
          <w:tcPr>
            <w:tcW w:w="1140" w:type="dxa"/>
            <w:tcBorders>
              <w:top w:val="nil"/>
              <w:left w:val="nil"/>
              <w:bottom w:val="single" w:color="000000" w:sz="8" w:space="0"/>
              <w:right w:val="single" w:color="000000" w:sz="8" w:space="0"/>
            </w:tcBorders>
            <w:noWrap/>
            <w:vAlign w:val="center"/>
          </w:tcPr>
          <w:p w14:paraId="00BEBE3C">
            <w:pPr>
              <w:widowControl/>
              <w:spacing w:line="440" w:lineRule="exact"/>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保险费</w:t>
            </w:r>
          </w:p>
        </w:tc>
        <w:tc>
          <w:tcPr>
            <w:tcW w:w="2960" w:type="dxa"/>
            <w:tcBorders>
              <w:top w:val="nil"/>
              <w:left w:val="nil"/>
              <w:bottom w:val="single" w:color="000000" w:sz="8" w:space="0"/>
              <w:right w:val="single" w:color="000000" w:sz="8" w:space="0"/>
            </w:tcBorders>
            <w:noWrap/>
            <w:vAlign w:val="center"/>
          </w:tcPr>
          <w:p w14:paraId="120709A7">
            <w:pPr>
              <w:widowControl/>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人</w:t>
            </w:r>
            <w:r>
              <w:rPr>
                <w:rFonts w:hint="eastAsia" w:ascii="宋体" w:hAnsi="宋体" w:cs="宋体"/>
                <w:color w:val="auto"/>
                <w:kern w:val="0"/>
                <w:szCs w:val="21"/>
                <w:highlight w:val="none"/>
              </w:rPr>
              <w:t>×元/人</w:t>
            </w:r>
          </w:p>
        </w:tc>
        <w:tc>
          <w:tcPr>
            <w:tcW w:w="2959" w:type="dxa"/>
            <w:tcBorders>
              <w:top w:val="nil"/>
              <w:left w:val="nil"/>
              <w:bottom w:val="single" w:color="000000" w:sz="8" w:space="0"/>
              <w:right w:val="single" w:color="000000" w:sz="8" w:space="0"/>
            </w:tcBorders>
            <w:noWrap/>
            <w:vAlign w:val="center"/>
          </w:tcPr>
          <w:p w14:paraId="5DF9A5C0">
            <w:pPr>
              <w:widowControl/>
              <w:spacing w:line="440" w:lineRule="exact"/>
              <w:textAlignment w:val="center"/>
              <w:rPr>
                <w:rFonts w:ascii="宋体" w:hAnsi="宋体" w:cs="宋体"/>
                <w:color w:val="auto"/>
                <w:szCs w:val="21"/>
                <w:highlight w:val="none"/>
              </w:rPr>
            </w:pPr>
          </w:p>
        </w:tc>
        <w:tc>
          <w:tcPr>
            <w:tcW w:w="1056" w:type="dxa"/>
            <w:tcBorders>
              <w:top w:val="nil"/>
              <w:left w:val="nil"/>
              <w:bottom w:val="single" w:color="000000" w:sz="8" w:space="0"/>
              <w:right w:val="single" w:color="000000" w:sz="8" w:space="0"/>
            </w:tcBorders>
            <w:noWrap/>
            <w:vAlign w:val="center"/>
          </w:tcPr>
          <w:p w14:paraId="7674D104">
            <w:pPr>
              <w:spacing w:line="440" w:lineRule="exact"/>
              <w:rPr>
                <w:rFonts w:ascii="宋体" w:hAnsi="宋体" w:cs="宋体"/>
                <w:color w:val="auto"/>
                <w:szCs w:val="21"/>
                <w:highlight w:val="none"/>
              </w:rPr>
            </w:pPr>
          </w:p>
        </w:tc>
      </w:tr>
      <w:tr w14:paraId="1ECB149A">
        <w:tblPrEx>
          <w:tblCellMar>
            <w:top w:w="0" w:type="dxa"/>
            <w:left w:w="108" w:type="dxa"/>
            <w:bottom w:w="0" w:type="dxa"/>
            <w:right w:w="108" w:type="dxa"/>
          </w:tblCellMar>
        </w:tblPrEx>
        <w:trPr>
          <w:trHeight w:val="442" w:hRule="exact"/>
          <w:jc w:val="center"/>
        </w:trPr>
        <w:tc>
          <w:tcPr>
            <w:tcW w:w="695" w:type="dxa"/>
            <w:tcBorders>
              <w:top w:val="single" w:color="000000" w:sz="8" w:space="0"/>
              <w:left w:val="single" w:color="000000" w:sz="8" w:space="0"/>
              <w:bottom w:val="single" w:color="000000" w:sz="8" w:space="0"/>
              <w:right w:val="single" w:color="000000" w:sz="8" w:space="0"/>
            </w:tcBorders>
            <w:noWrap/>
            <w:vAlign w:val="center"/>
          </w:tcPr>
          <w:p w14:paraId="1103C9C1">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1140" w:type="dxa"/>
            <w:tcBorders>
              <w:top w:val="nil"/>
              <w:left w:val="single" w:color="000000" w:sz="8" w:space="0"/>
              <w:bottom w:val="single" w:color="000000" w:sz="8" w:space="0"/>
              <w:right w:val="single" w:color="000000" w:sz="8" w:space="0"/>
            </w:tcBorders>
            <w:noWrap/>
            <w:vAlign w:val="center"/>
          </w:tcPr>
          <w:p w14:paraId="16F63036">
            <w:pPr>
              <w:widowControl/>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工具</w:t>
            </w:r>
          </w:p>
        </w:tc>
        <w:tc>
          <w:tcPr>
            <w:tcW w:w="2960" w:type="dxa"/>
            <w:tcBorders>
              <w:top w:val="nil"/>
              <w:left w:val="nil"/>
              <w:bottom w:val="single" w:color="000000" w:sz="8" w:space="0"/>
              <w:right w:val="single" w:color="000000" w:sz="8" w:space="0"/>
            </w:tcBorders>
            <w:noWrap/>
            <w:vAlign w:val="center"/>
          </w:tcPr>
          <w:p w14:paraId="715655A0">
            <w:pPr>
              <w:widowControl/>
              <w:spacing w:line="440" w:lineRule="exact"/>
              <w:jc w:val="left"/>
              <w:textAlignment w:val="center"/>
              <w:rPr>
                <w:rFonts w:ascii="宋体" w:hAnsi="宋体" w:cs="宋体"/>
                <w:color w:val="auto"/>
                <w:szCs w:val="21"/>
                <w:highlight w:val="none"/>
                <w:u w:val="single"/>
              </w:rPr>
            </w:pPr>
          </w:p>
        </w:tc>
        <w:tc>
          <w:tcPr>
            <w:tcW w:w="2959" w:type="dxa"/>
            <w:tcBorders>
              <w:top w:val="nil"/>
              <w:left w:val="nil"/>
              <w:bottom w:val="single" w:color="000000" w:sz="8" w:space="0"/>
              <w:right w:val="single" w:color="000000" w:sz="8" w:space="0"/>
            </w:tcBorders>
            <w:noWrap/>
            <w:vAlign w:val="center"/>
          </w:tcPr>
          <w:p w14:paraId="068CBF45">
            <w:pPr>
              <w:widowControl/>
              <w:spacing w:line="440" w:lineRule="exact"/>
              <w:textAlignment w:val="center"/>
              <w:rPr>
                <w:rFonts w:ascii="宋体" w:hAnsi="宋体" w:cs="宋体"/>
                <w:color w:val="auto"/>
                <w:szCs w:val="21"/>
                <w:highlight w:val="none"/>
              </w:rPr>
            </w:pPr>
          </w:p>
        </w:tc>
        <w:tc>
          <w:tcPr>
            <w:tcW w:w="1056" w:type="dxa"/>
            <w:tcBorders>
              <w:top w:val="nil"/>
              <w:left w:val="nil"/>
              <w:bottom w:val="single" w:color="000000" w:sz="8" w:space="0"/>
              <w:right w:val="single" w:color="000000" w:sz="8" w:space="0"/>
            </w:tcBorders>
            <w:noWrap/>
            <w:vAlign w:val="center"/>
          </w:tcPr>
          <w:p w14:paraId="53DD9AA7">
            <w:pPr>
              <w:spacing w:line="440" w:lineRule="exact"/>
              <w:rPr>
                <w:rFonts w:ascii="宋体" w:hAnsi="宋体" w:cs="宋体"/>
                <w:color w:val="auto"/>
                <w:szCs w:val="21"/>
                <w:highlight w:val="none"/>
              </w:rPr>
            </w:pPr>
          </w:p>
        </w:tc>
      </w:tr>
      <w:tr w14:paraId="59839184">
        <w:tblPrEx>
          <w:tblCellMar>
            <w:top w:w="0" w:type="dxa"/>
            <w:left w:w="108" w:type="dxa"/>
            <w:bottom w:w="0" w:type="dxa"/>
            <w:right w:w="108" w:type="dxa"/>
          </w:tblCellMar>
        </w:tblPrEx>
        <w:trPr>
          <w:trHeight w:val="442" w:hRule="exact"/>
          <w:jc w:val="center"/>
        </w:trPr>
        <w:tc>
          <w:tcPr>
            <w:tcW w:w="695" w:type="dxa"/>
            <w:tcBorders>
              <w:top w:val="single" w:color="000000" w:sz="8" w:space="0"/>
              <w:left w:val="single" w:color="000000" w:sz="8" w:space="0"/>
              <w:bottom w:val="single" w:color="000000" w:sz="8" w:space="0"/>
              <w:right w:val="single" w:color="000000" w:sz="8" w:space="0"/>
            </w:tcBorders>
            <w:noWrap/>
            <w:vAlign w:val="center"/>
          </w:tcPr>
          <w:p w14:paraId="100A2789">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140" w:type="dxa"/>
            <w:tcBorders>
              <w:top w:val="nil"/>
              <w:left w:val="single" w:color="000000" w:sz="8" w:space="0"/>
              <w:bottom w:val="single" w:color="000000" w:sz="8" w:space="0"/>
              <w:right w:val="single" w:color="000000" w:sz="8" w:space="0"/>
            </w:tcBorders>
            <w:noWrap/>
            <w:vAlign w:val="center"/>
          </w:tcPr>
          <w:p w14:paraId="2681E405">
            <w:pPr>
              <w:widowControl/>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餐费</w:t>
            </w:r>
          </w:p>
        </w:tc>
        <w:tc>
          <w:tcPr>
            <w:tcW w:w="2960" w:type="dxa"/>
            <w:tcBorders>
              <w:top w:val="nil"/>
              <w:left w:val="nil"/>
              <w:bottom w:val="single" w:color="000000" w:sz="8" w:space="0"/>
              <w:right w:val="single" w:color="000000" w:sz="8" w:space="0"/>
            </w:tcBorders>
            <w:noWrap/>
            <w:vAlign w:val="center"/>
          </w:tcPr>
          <w:p w14:paraId="68038B54">
            <w:pPr>
              <w:widowControl/>
              <w:spacing w:line="44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人</w:t>
            </w:r>
            <w:r>
              <w:rPr>
                <w:rFonts w:hint="eastAsia" w:ascii="宋体" w:hAnsi="宋体" w:cs="宋体"/>
                <w:color w:val="auto"/>
                <w:kern w:val="0"/>
                <w:szCs w:val="21"/>
                <w:highlight w:val="none"/>
              </w:rPr>
              <w:t>×天×元/天</w:t>
            </w:r>
          </w:p>
        </w:tc>
        <w:tc>
          <w:tcPr>
            <w:tcW w:w="2959" w:type="dxa"/>
            <w:tcBorders>
              <w:top w:val="nil"/>
              <w:left w:val="nil"/>
              <w:bottom w:val="single" w:color="000000" w:sz="8" w:space="0"/>
              <w:right w:val="single" w:color="000000" w:sz="8" w:space="0"/>
            </w:tcBorders>
            <w:noWrap/>
            <w:vAlign w:val="center"/>
          </w:tcPr>
          <w:p w14:paraId="7DD290BD">
            <w:pPr>
              <w:widowControl/>
              <w:spacing w:line="440" w:lineRule="exact"/>
              <w:textAlignment w:val="center"/>
              <w:rPr>
                <w:rFonts w:ascii="宋体" w:hAnsi="宋体" w:cs="宋体"/>
                <w:color w:val="auto"/>
                <w:szCs w:val="21"/>
                <w:highlight w:val="none"/>
              </w:rPr>
            </w:pPr>
          </w:p>
        </w:tc>
        <w:tc>
          <w:tcPr>
            <w:tcW w:w="1056" w:type="dxa"/>
            <w:tcBorders>
              <w:top w:val="nil"/>
              <w:left w:val="nil"/>
              <w:bottom w:val="single" w:color="000000" w:sz="8" w:space="0"/>
              <w:right w:val="single" w:color="000000" w:sz="8" w:space="0"/>
            </w:tcBorders>
            <w:noWrap/>
            <w:vAlign w:val="center"/>
          </w:tcPr>
          <w:p w14:paraId="42C5A8ED">
            <w:pPr>
              <w:spacing w:line="440" w:lineRule="exact"/>
              <w:rPr>
                <w:rFonts w:ascii="宋体" w:hAnsi="宋体" w:cs="宋体"/>
                <w:color w:val="auto"/>
                <w:szCs w:val="21"/>
                <w:highlight w:val="none"/>
              </w:rPr>
            </w:pPr>
          </w:p>
        </w:tc>
      </w:tr>
      <w:tr w14:paraId="386E9C40">
        <w:tblPrEx>
          <w:tblCellMar>
            <w:top w:w="0" w:type="dxa"/>
            <w:left w:w="108" w:type="dxa"/>
            <w:bottom w:w="0" w:type="dxa"/>
            <w:right w:w="108" w:type="dxa"/>
          </w:tblCellMar>
        </w:tblPrEx>
        <w:trPr>
          <w:trHeight w:val="442" w:hRule="exact"/>
          <w:jc w:val="center"/>
        </w:trPr>
        <w:tc>
          <w:tcPr>
            <w:tcW w:w="695" w:type="dxa"/>
            <w:tcBorders>
              <w:top w:val="single" w:color="000000" w:sz="8" w:space="0"/>
              <w:left w:val="single" w:color="000000" w:sz="8" w:space="0"/>
              <w:bottom w:val="single" w:color="000000" w:sz="8" w:space="0"/>
              <w:right w:val="single" w:color="000000" w:sz="8" w:space="0"/>
            </w:tcBorders>
            <w:noWrap/>
            <w:vAlign w:val="center"/>
          </w:tcPr>
          <w:p w14:paraId="691E31F1">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140" w:type="dxa"/>
            <w:tcBorders>
              <w:top w:val="single" w:color="000000" w:sz="8" w:space="0"/>
              <w:left w:val="single" w:color="000000" w:sz="8" w:space="0"/>
              <w:bottom w:val="single" w:color="000000" w:sz="8" w:space="0"/>
              <w:right w:val="single" w:color="000000" w:sz="8" w:space="0"/>
            </w:tcBorders>
            <w:noWrap/>
            <w:vAlign w:val="center"/>
          </w:tcPr>
          <w:p w14:paraId="5D62E959">
            <w:pPr>
              <w:widowControl/>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试剂费</w:t>
            </w:r>
          </w:p>
        </w:tc>
        <w:tc>
          <w:tcPr>
            <w:tcW w:w="2960" w:type="dxa"/>
            <w:tcBorders>
              <w:top w:val="single" w:color="000000" w:sz="8" w:space="0"/>
              <w:left w:val="single" w:color="000000" w:sz="8" w:space="0"/>
              <w:bottom w:val="single" w:color="000000" w:sz="8" w:space="0"/>
              <w:right w:val="single" w:color="000000" w:sz="8" w:space="0"/>
            </w:tcBorders>
            <w:noWrap/>
            <w:vAlign w:val="center"/>
          </w:tcPr>
          <w:p w14:paraId="583ABD22">
            <w:pPr>
              <w:widowControl/>
              <w:spacing w:line="440" w:lineRule="exact"/>
              <w:jc w:val="left"/>
              <w:textAlignment w:val="center"/>
              <w:rPr>
                <w:rFonts w:ascii="宋体" w:hAnsi="宋体" w:cs="宋体"/>
                <w:color w:val="auto"/>
                <w:szCs w:val="21"/>
                <w:highlight w:val="none"/>
                <w:u w:val="single"/>
              </w:rPr>
            </w:pPr>
          </w:p>
        </w:tc>
        <w:tc>
          <w:tcPr>
            <w:tcW w:w="2959" w:type="dxa"/>
            <w:tcBorders>
              <w:top w:val="single" w:color="000000" w:sz="8" w:space="0"/>
              <w:left w:val="single" w:color="000000" w:sz="8" w:space="0"/>
              <w:bottom w:val="single" w:color="000000" w:sz="8" w:space="0"/>
              <w:right w:val="single" w:color="000000" w:sz="8" w:space="0"/>
            </w:tcBorders>
            <w:noWrap/>
            <w:vAlign w:val="center"/>
          </w:tcPr>
          <w:p w14:paraId="295D551D">
            <w:pPr>
              <w:widowControl/>
              <w:spacing w:line="440" w:lineRule="exact"/>
              <w:textAlignment w:val="center"/>
              <w:rPr>
                <w:rFonts w:ascii="宋体" w:hAnsi="宋体" w:cs="宋体"/>
                <w:color w:val="auto"/>
                <w:szCs w:val="21"/>
                <w:highlight w:val="none"/>
              </w:rPr>
            </w:pPr>
          </w:p>
        </w:tc>
        <w:tc>
          <w:tcPr>
            <w:tcW w:w="1056" w:type="dxa"/>
            <w:tcBorders>
              <w:top w:val="single" w:color="000000" w:sz="8" w:space="0"/>
              <w:left w:val="single" w:color="000000" w:sz="8" w:space="0"/>
              <w:bottom w:val="single" w:color="000000" w:sz="8" w:space="0"/>
              <w:right w:val="single" w:color="000000" w:sz="8" w:space="0"/>
            </w:tcBorders>
            <w:noWrap/>
            <w:vAlign w:val="center"/>
          </w:tcPr>
          <w:p w14:paraId="554C3984">
            <w:pPr>
              <w:spacing w:line="440" w:lineRule="exact"/>
              <w:rPr>
                <w:rFonts w:ascii="宋体" w:hAnsi="宋体" w:cs="宋体"/>
                <w:color w:val="auto"/>
                <w:szCs w:val="21"/>
                <w:highlight w:val="none"/>
              </w:rPr>
            </w:pPr>
          </w:p>
        </w:tc>
      </w:tr>
      <w:tr w14:paraId="72093D21">
        <w:tblPrEx>
          <w:tblCellMar>
            <w:top w:w="0" w:type="dxa"/>
            <w:left w:w="108" w:type="dxa"/>
            <w:bottom w:w="0" w:type="dxa"/>
            <w:right w:w="108" w:type="dxa"/>
          </w:tblCellMar>
        </w:tblPrEx>
        <w:trPr>
          <w:trHeight w:val="442" w:hRule="exact"/>
          <w:jc w:val="center"/>
        </w:trPr>
        <w:tc>
          <w:tcPr>
            <w:tcW w:w="695" w:type="dxa"/>
            <w:tcBorders>
              <w:top w:val="single" w:color="000000" w:sz="8" w:space="0"/>
              <w:left w:val="single" w:color="000000" w:sz="8" w:space="0"/>
              <w:bottom w:val="single" w:color="000000" w:sz="8" w:space="0"/>
              <w:right w:val="single" w:color="000000" w:sz="8" w:space="0"/>
            </w:tcBorders>
            <w:noWrap/>
            <w:vAlign w:val="center"/>
          </w:tcPr>
          <w:p w14:paraId="388A365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1140" w:type="dxa"/>
            <w:tcBorders>
              <w:top w:val="single" w:color="000000" w:sz="8" w:space="0"/>
              <w:left w:val="single" w:color="000000" w:sz="8" w:space="0"/>
              <w:bottom w:val="single" w:color="000000" w:sz="8" w:space="0"/>
              <w:right w:val="single" w:color="000000" w:sz="8" w:space="0"/>
            </w:tcBorders>
            <w:noWrap/>
            <w:vAlign w:val="center"/>
          </w:tcPr>
          <w:p w14:paraId="1FD71CEF">
            <w:pPr>
              <w:widowControl/>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其他</w:t>
            </w:r>
          </w:p>
        </w:tc>
        <w:tc>
          <w:tcPr>
            <w:tcW w:w="2960" w:type="dxa"/>
            <w:tcBorders>
              <w:top w:val="single" w:color="000000" w:sz="8" w:space="0"/>
              <w:left w:val="single" w:color="000000" w:sz="8" w:space="0"/>
              <w:bottom w:val="single" w:color="000000" w:sz="8" w:space="0"/>
              <w:right w:val="single" w:color="000000" w:sz="8" w:space="0"/>
            </w:tcBorders>
            <w:noWrap/>
            <w:vAlign w:val="center"/>
          </w:tcPr>
          <w:p w14:paraId="74945532">
            <w:pPr>
              <w:widowControl/>
              <w:spacing w:line="440" w:lineRule="exact"/>
              <w:jc w:val="left"/>
              <w:textAlignment w:val="center"/>
              <w:rPr>
                <w:rFonts w:ascii="宋体" w:hAnsi="宋体" w:cs="宋体"/>
                <w:color w:val="auto"/>
                <w:szCs w:val="21"/>
                <w:highlight w:val="none"/>
                <w:u w:val="single"/>
              </w:rPr>
            </w:pPr>
          </w:p>
        </w:tc>
        <w:tc>
          <w:tcPr>
            <w:tcW w:w="2959" w:type="dxa"/>
            <w:tcBorders>
              <w:top w:val="single" w:color="000000" w:sz="8" w:space="0"/>
              <w:left w:val="single" w:color="000000" w:sz="8" w:space="0"/>
              <w:bottom w:val="single" w:color="000000" w:sz="8" w:space="0"/>
              <w:right w:val="single" w:color="000000" w:sz="8" w:space="0"/>
            </w:tcBorders>
            <w:noWrap/>
            <w:vAlign w:val="center"/>
          </w:tcPr>
          <w:p w14:paraId="20CBA593">
            <w:pPr>
              <w:widowControl/>
              <w:spacing w:line="440" w:lineRule="exact"/>
              <w:textAlignment w:val="center"/>
              <w:rPr>
                <w:rFonts w:ascii="宋体" w:hAnsi="宋体" w:cs="宋体"/>
                <w:color w:val="auto"/>
                <w:szCs w:val="21"/>
                <w:highlight w:val="none"/>
              </w:rPr>
            </w:pPr>
          </w:p>
        </w:tc>
        <w:tc>
          <w:tcPr>
            <w:tcW w:w="1056" w:type="dxa"/>
            <w:tcBorders>
              <w:top w:val="single" w:color="000000" w:sz="8" w:space="0"/>
              <w:left w:val="single" w:color="000000" w:sz="8" w:space="0"/>
              <w:bottom w:val="single" w:color="000000" w:sz="8" w:space="0"/>
              <w:right w:val="single" w:color="000000" w:sz="8" w:space="0"/>
            </w:tcBorders>
            <w:noWrap/>
            <w:vAlign w:val="center"/>
          </w:tcPr>
          <w:p w14:paraId="3DA90796">
            <w:pPr>
              <w:spacing w:line="440" w:lineRule="exact"/>
              <w:rPr>
                <w:rFonts w:ascii="宋体" w:hAnsi="宋体" w:cs="宋体"/>
                <w:color w:val="auto"/>
                <w:szCs w:val="21"/>
                <w:highlight w:val="none"/>
              </w:rPr>
            </w:pPr>
          </w:p>
        </w:tc>
      </w:tr>
      <w:tr w14:paraId="4092CBB4">
        <w:tblPrEx>
          <w:tblCellMar>
            <w:top w:w="0" w:type="dxa"/>
            <w:left w:w="108" w:type="dxa"/>
            <w:bottom w:w="0" w:type="dxa"/>
            <w:right w:w="108" w:type="dxa"/>
          </w:tblCellMar>
        </w:tblPrEx>
        <w:trPr>
          <w:trHeight w:val="442" w:hRule="exact"/>
          <w:jc w:val="center"/>
        </w:trPr>
        <w:tc>
          <w:tcPr>
            <w:tcW w:w="695" w:type="dxa"/>
            <w:tcBorders>
              <w:top w:val="single" w:color="000000" w:sz="8" w:space="0"/>
              <w:left w:val="single" w:color="000000" w:sz="8" w:space="0"/>
              <w:bottom w:val="single" w:color="000000" w:sz="8" w:space="0"/>
              <w:right w:val="single" w:color="000000" w:sz="8" w:space="0"/>
            </w:tcBorders>
            <w:noWrap/>
            <w:vAlign w:val="center"/>
          </w:tcPr>
          <w:p w14:paraId="60805FB4">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140" w:type="dxa"/>
            <w:tcBorders>
              <w:top w:val="single" w:color="000000" w:sz="8" w:space="0"/>
              <w:left w:val="single" w:color="000000" w:sz="8" w:space="0"/>
              <w:bottom w:val="single" w:color="000000" w:sz="8" w:space="0"/>
              <w:right w:val="single" w:color="000000" w:sz="8" w:space="0"/>
            </w:tcBorders>
            <w:noWrap/>
            <w:vAlign w:val="center"/>
          </w:tcPr>
          <w:p w14:paraId="4B81203A">
            <w:pPr>
              <w:widowControl/>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合理利润</w:t>
            </w:r>
          </w:p>
        </w:tc>
        <w:tc>
          <w:tcPr>
            <w:tcW w:w="2960" w:type="dxa"/>
            <w:tcBorders>
              <w:top w:val="single" w:color="000000" w:sz="8" w:space="0"/>
              <w:left w:val="single" w:color="000000" w:sz="8" w:space="0"/>
              <w:bottom w:val="single" w:color="000000" w:sz="8" w:space="0"/>
              <w:right w:val="single" w:color="000000" w:sz="8" w:space="0"/>
            </w:tcBorders>
            <w:noWrap/>
            <w:vAlign w:val="center"/>
          </w:tcPr>
          <w:p w14:paraId="2B3266DE">
            <w:pPr>
              <w:widowControl/>
              <w:spacing w:line="440" w:lineRule="exact"/>
              <w:jc w:val="left"/>
              <w:textAlignment w:val="center"/>
              <w:rPr>
                <w:rFonts w:ascii="宋体" w:hAnsi="宋体" w:cs="宋体"/>
                <w:color w:val="auto"/>
                <w:szCs w:val="21"/>
                <w:highlight w:val="none"/>
                <w:u w:val="single"/>
              </w:rPr>
            </w:pPr>
            <w:r>
              <w:rPr>
                <w:rFonts w:hint="eastAsia" w:ascii="宋体" w:hAnsi="宋体" w:cs="宋体"/>
                <w:color w:val="auto"/>
                <w:szCs w:val="21"/>
                <w:highlight w:val="none"/>
              </w:rPr>
              <w:t>（1+·····7）</w:t>
            </w:r>
            <w:r>
              <w:rPr>
                <w:rFonts w:hint="eastAsia" w:ascii="宋体" w:hAnsi="宋体" w:cs="宋体"/>
                <w:color w:val="auto"/>
                <w:kern w:val="0"/>
                <w:szCs w:val="21"/>
                <w:highlight w:val="none"/>
              </w:rPr>
              <w:t>×%</w:t>
            </w:r>
          </w:p>
        </w:tc>
        <w:tc>
          <w:tcPr>
            <w:tcW w:w="2959" w:type="dxa"/>
            <w:tcBorders>
              <w:top w:val="single" w:color="000000" w:sz="8" w:space="0"/>
              <w:left w:val="single" w:color="000000" w:sz="8" w:space="0"/>
              <w:bottom w:val="single" w:color="000000" w:sz="8" w:space="0"/>
              <w:right w:val="single" w:color="000000" w:sz="8" w:space="0"/>
            </w:tcBorders>
            <w:noWrap/>
            <w:vAlign w:val="center"/>
          </w:tcPr>
          <w:p w14:paraId="490717B0">
            <w:pPr>
              <w:widowControl/>
              <w:spacing w:line="440" w:lineRule="exact"/>
              <w:textAlignment w:val="center"/>
              <w:rPr>
                <w:rFonts w:ascii="宋体" w:hAnsi="宋体" w:cs="宋体"/>
                <w:color w:val="auto"/>
                <w:szCs w:val="21"/>
                <w:highlight w:val="none"/>
              </w:rPr>
            </w:pPr>
          </w:p>
        </w:tc>
        <w:tc>
          <w:tcPr>
            <w:tcW w:w="1056" w:type="dxa"/>
            <w:tcBorders>
              <w:top w:val="single" w:color="000000" w:sz="8" w:space="0"/>
              <w:left w:val="single" w:color="000000" w:sz="8" w:space="0"/>
              <w:bottom w:val="single" w:color="000000" w:sz="8" w:space="0"/>
              <w:right w:val="single" w:color="000000" w:sz="8" w:space="0"/>
            </w:tcBorders>
            <w:noWrap/>
            <w:vAlign w:val="center"/>
          </w:tcPr>
          <w:p w14:paraId="67CCD5B2">
            <w:pPr>
              <w:spacing w:line="440" w:lineRule="exact"/>
              <w:rPr>
                <w:rFonts w:ascii="宋体" w:hAnsi="宋体" w:cs="宋体"/>
                <w:color w:val="auto"/>
                <w:szCs w:val="21"/>
                <w:highlight w:val="none"/>
              </w:rPr>
            </w:pPr>
          </w:p>
        </w:tc>
      </w:tr>
      <w:tr w14:paraId="4237D1F4">
        <w:tblPrEx>
          <w:tblCellMar>
            <w:top w:w="0" w:type="dxa"/>
            <w:left w:w="108" w:type="dxa"/>
            <w:bottom w:w="0" w:type="dxa"/>
            <w:right w:w="108" w:type="dxa"/>
          </w:tblCellMar>
        </w:tblPrEx>
        <w:trPr>
          <w:trHeight w:val="442" w:hRule="exact"/>
          <w:jc w:val="center"/>
        </w:trPr>
        <w:tc>
          <w:tcPr>
            <w:tcW w:w="695" w:type="dxa"/>
            <w:tcBorders>
              <w:top w:val="single" w:color="000000" w:sz="8" w:space="0"/>
              <w:left w:val="single" w:color="000000" w:sz="8" w:space="0"/>
              <w:bottom w:val="single" w:color="000000" w:sz="8" w:space="0"/>
              <w:right w:val="single" w:color="000000" w:sz="8" w:space="0"/>
            </w:tcBorders>
            <w:noWrap/>
            <w:vAlign w:val="center"/>
          </w:tcPr>
          <w:p w14:paraId="4664A4F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140" w:type="dxa"/>
            <w:tcBorders>
              <w:top w:val="single" w:color="000000" w:sz="8" w:space="0"/>
              <w:left w:val="single" w:color="000000" w:sz="8" w:space="0"/>
              <w:bottom w:val="single" w:color="000000" w:sz="8" w:space="0"/>
              <w:right w:val="single" w:color="000000" w:sz="8" w:space="0"/>
            </w:tcBorders>
            <w:noWrap/>
            <w:vAlign w:val="center"/>
          </w:tcPr>
          <w:p w14:paraId="65EF0895">
            <w:pPr>
              <w:widowControl/>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税费</w:t>
            </w:r>
          </w:p>
        </w:tc>
        <w:tc>
          <w:tcPr>
            <w:tcW w:w="2960" w:type="dxa"/>
            <w:tcBorders>
              <w:top w:val="single" w:color="000000" w:sz="8" w:space="0"/>
              <w:left w:val="single" w:color="000000" w:sz="8" w:space="0"/>
              <w:bottom w:val="single" w:color="000000" w:sz="8" w:space="0"/>
              <w:right w:val="single" w:color="000000" w:sz="8" w:space="0"/>
            </w:tcBorders>
            <w:noWrap/>
            <w:vAlign w:val="center"/>
          </w:tcPr>
          <w:p w14:paraId="6F5845F0">
            <w:pPr>
              <w:widowControl/>
              <w:spacing w:line="440" w:lineRule="exact"/>
              <w:jc w:val="left"/>
              <w:textAlignment w:val="center"/>
              <w:rPr>
                <w:rFonts w:ascii="宋体" w:hAnsi="宋体" w:cs="宋体"/>
                <w:color w:val="auto"/>
                <w:szCs w:val="21"/>
                <w:highlight w:val="none"/>
                <w:u w:val="single"/>
              </w:rPr>
            </w:pPr>
            <w:r>
              <w:rPr>
                <w:rFonts w:hint="eastAsia" w:ascii="宋体" w:hAnsi="宋体" w:cs="宋体"/>
                <w:color w:val="auto"/>
                <w:szCs w:val="21"/>
                <w:highlight w:val="none"/>
              </w:rPr>
              <w:t>（1+·····8）</w:t>
            </w:r>
            <w:r>
              <w:rPr>
                <w:rFonts w:hint="eastAsia" w:ascii="宋体" w:hAnsi="宋体" w:cs="宋体"/>
                <w:color w:val="auto"/>
                <w:kern w:val="0"/>
                <w:szCs w:val="21"/>
                <w:highlight w:val="none"/>
              </w:rPr>
              <w:t>×%</w:t>
            </w:r>
          </w:p>
        </w:tc>
        <w:tc>
          <w:tcPr>
            <w:tcW w:w="2959" w:type="dxa"/>
            <w:tcBorders>
              <w:top w:val="single" w:color="000000" w:sz="8" w:space="0"/>
              <w:left w:val="single" w:color="000000" w:sz="8" w:space="0"/>
              <w:bottom w:val="single" w:color="000000" w:sz="8" w:space="0"/>
              <w:right w:val="single" w:color="000000" w:sz="8" w:space="0"/>
            </w:tcBorders>
            <w:noWrap/>
            <w:vAlign w:val="center"/>
          </w:tcPr>
          <w:p w14:paraId="410948DC">
            <w:pPr>
              <w:widowControl/>
              <w:spacing w:line="440" w:lineRule="exact"/>
              <w:textAlignment w:val="center"/>
              <w:rPr>
                <w:rFonts w:ascii="宋体" w:hAnsi="宋体" w:cs="宋体"/>
                <w:color w:val="auto"/>
                <w:szCs w:val="21"/>
                <w:highlight w:val="none"/>
              </w:rPr>
            </w:pPr>
          </w:p>
        </w:tc>
        <w:tc>
          <w:tcPr>
            <w:tcW w:w="1056" w:type="dxa"/>
            <w:tcBorders>
              <w:top w:val="single" w:color="000000" w:sz="8" w:space="0"/>
              <w:left w:val="single" w:color="000000" w:sz="8" w:space="0"/>
              <w:bottom w:val="single" w:color="000000" w:sz="8" w:space="0"/>
              <w:right w:val="single" w:color="000000" w:sz="8" w:space="0"/>
            </w:tcBorders>
            <w:noWrap/>
            <w:vAlign w:val="center"/>
          </w:tcPr>
          <w:p w14:paraId="200E2A60">
            <w:pPr>
              <w:spacing w:line="440" w:lineRule="exact"/>
              <w:rPr>
                <w:rFonts w:ascii="宋体" w:hAnsi="宋体" w:cs="宋体"/>
                <w:color w:val="auto"/>
                <w:szCs w:val="21"/>
                <w:highlight w:val="none"/>
              </w:rPr>
            </w:pPr>
          </w:p>
        </w:tc>
      </w:tr>
      <w:tr w14:paraId="3E0D580C">
        <w:tblPrEx>
          <w:tblCellMar>
            <w:top w:w="0" w:type="dxa"/>
            <w:left w:w="108" w:type="dxa"/>
            <w:bottom w:w="0" w:type="dxa"/>
            <w:right w:w="108" w:type="dxa"/>
          </w:tblCellMar>
        </w:tblPrEx>
        <w:trPr>
          <w:trHeight w:val="442" w:hRule="exact"/>
          <w:jc w:val="center"/>
        </w:trPr>
        <w:tc>
          <w:tcPr>
            <w:tcW w:w="695" w:type="dxa"/>
            <w:tcBorders>
              <w:top w:val="single" w:color="000000" w:sz="8" w:space="0"/>
              <w:left w:val="single" w:color="000000" w:sz="8" w:space="0"/>
              <w:bottom w:val="single" w:color="000000" w:sz="8" w:space="0"/>
              <w:right w:val="single" w:color="000000" w:sz="8" w:space="0"/>
            </w:tcBorders>
            <w:noWrap/>
            <w:vAlign w:val="center"/>
          </w:tcPr>
          <w:p w14:paraId="3B74ADB0">
            <w:pPr>
              <w:spacing w:line="440" w:lineRule="exact"/>
              <w:jc w:val="center"/>
              <w:rPr>
                <w:rFonts w:ascii="宋体" w:hAnsi="宋体" w:cs="宋体"/>
                <w:color w:val="auto"/>
                <w:szCs w:val="21"/>
                <w:highlight w:val="none"/>
              </w:rPr>
            </w:pPr>
          </w:p>
        </w:tc>
        <w:tc>
          <w:tcPr>
            <w:tcW w:w="1140" w:type="dxa"/>
            <w:tcBorders>
              <w:top w:val="single" w:color="000000" w:sz="8" w:space="0"/>
              <w:left w:val="single" w:color="000000" w:sz="8" w:space="0"/>
              <w:bottom w:val="single" w:color="000000" w:sz="8" w:space="0"/>
              <w:right w:val="single" w:color="000000" w:sz="8" w:space="0"/>
            </w:tcBorders>
            <w:noWrap/>
            <w:vAlign w:val="center"/>
          </w:tcPr>
          <w:p w14:paraId="679B1CBD">
            <w:pPr>
              <w:widowControl/>
              <w:spacing w:line="440" w:lineRule="exact"/>
              <w:textAlignment w:val="center"/>
              <w:rPr>
                <w:rFonts w:ascii="宋体" w:hAnsi="宋体" w:cs="宋体"/>
                <w:b/>
                <w:bCs/>
                <w:color w:val="auto"/>
                <w:szCs w:val="21"/>
                <w:highlight w:val="none"/>
              </w:rPr>
            </w:pPr>
            <w:r>
              <w:rPr>
                <w:rFonts w:hint="eastAsia" w:ascii="宋体" w:hAnsi="宋体" w:cs="宋体"/>
                <w:b/>
                <w:bCs/>
                <w:color w:val="auto"/>
                <w:szCs w:val="21"/>
                <w:highlight w:val="none"/>
              </w:rPr>
              <w:t>合计</w:t>
            </w:r>
          </w:p>
        </w:tc>
        <w:tc>
          <w:tcPr>
            <w:tcW w:w="2960" w:type="dxa"/>
            <w:tcBorders>
              <w:top w:val="single" w:color="000000" w:sz="8" w:space="0"/>
              <w:left w:val="single" w:color="000000" w:sz="8" w:space="0"/>
              <w:bottom w:val="single" w:color="000000" w:sz="8" w:space="0"/>
              <w:right w:val="single" w:color="000000" w:sz="8" w:space="0"/>
            </w:tcBorders>
            <w:noWrap/>
            <w:vAlign w:val="center"/>
          </w:tcPr>
          <w:p w14:paraId="6582E5CC">
            <w:pPr>
              <w:widowControl/>
              <w:spacing w:line="440" w:lineRule="exact"/>
              <w:jc w:val="left"/>
              <w:textAlignment w:val="center"/>
              <w:rPr>
                <w:rFonts w:ascii="宋体" w:hAnsi="宋体" w:cs="宋体"/>
                <w:b/>
                <w:bCs/>
                <w:color w:val="auto"/>
                <w:szCs w:val="21"/>
                <w:highlight w:val="none"/>
              </w:rPr>
            </w:pPr>
          </w:p>
        </w:tc>
        <w:tc>
          <w:tcPr>
            <w:tcW w:w="2959" w:type="dxa"/>
            <w:tcBorders>
              <w:top w:val="single" w:color="000000" w:sz="8" w:space="0"/>
              <w:left w:val="single" w:color="000000" w:sz="8" w:space="0"/>
              <w:bottom w:val="single" w:color="000000" w:sz="8" w:space="0"/>
              <w:right w:val="single" w:color="000000" w:sz="8" w:space="0"/>
            </w:tcBorders>
            <w:noWrap/>
            <w:vAlign w:val="center"/>
          </w:tcPr>
          <w:p w14:paraId="67F164C7">
            <w:pPr>
              <w:widowControl/>
              <w:spacing w:line="440" w:lineRule="exact"/>
              <w:textAlignment w:val="center"/>
              <w:rPr>
                <w:rFonts w:ascii="宋体" w:hAnsi="宋体" w:cs="宋体"/>
                <w:b/>
                <w:bCs/>
                <w:color w:val="auto"/>
                <w:szCs w:val="21"/>
                <w:highlight w:val="none"/>
              </w:rPr>
            </w:pPr>
          </w:p>
        </w:tc>
        <w:tc>
          <w:tcPr>
            <w:tcW w:w="1056" w:type="dxa"/>
            <w:tcBorders>
              <w:top w:val="single" w:color="000000" w:sz="8" w:space="0"/>
              <w:left w:val="single" w:color="000000" w:sz="8" w:space="0"/>
              <w:bottom w:val="single" w:color="000000" w:sz="8" w:space="0"/>
              <w:right w:val="single" w:color="000000" w:sz="8" w:space="0"/>
            </w:tcBorders>
            <w:noWrap/>
            <w:vAlign w:val="center"/>
          </w:tcPr>
          <w:p w14:paraId="15BF7546">
            <w:pPr>
              <w:spacing w:line="440" w:lineRule="exact"/>
              <w:rPr>
                <w:rFonts w:ascii="宋体" w:hAnsi="宋体" w:cs="宋体"/>
                <w:color w:val="auto"/>
                <w:szCs w:val="21"/>
                <w:highlight w:val="none"/>
              </w:rPr>
            </w:pPr>
          </w:p>
        </w:tc>
      </w:tr>
    </w:tbl>
    <w:p w14:paraId="624D5F2E">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说明：1、开荒费明细不全的，可在其他项目中自行展开添加，表格所列内容均需填报，如漏报，则视为让利，物业管理过程中如实际需要</w:t>
      </w:r>
      <w:r>
        <w:rPr>
          <w:rFonts w:hint="eastAsia" w:hAnsi="宋体" w:cs="宋体"/>
          <w:b/>
          <w:bCs/>
          <w:color w:val="auto"/>
          <w:sz w:val="24"/>
          <w:szCs w:val="24"/>
          <w:highlight w:val="none"/>
          <w:lang w:val="en-US" w:eastAsia="zh-CN"/>
        </w:rPr>
        <w:t>招标</w:t>
      </w:r>
      <w:r>
        <w:rPr>
          <w:rFonts w:hint="eastAsia" w:hAnsi="宋体" w:cs="宋体"/>
          <w:b/>
          <w:bCs/>
          <w:color w:val="auto"/>
          <w:sz w:val="24"/>
          <w:szCs w:val="24"/>
          <w:highlight w:val="none"/>
        </w:rPr>
        <w:t>，则甲方不再另外支付费用。</w:t>
      </w:r>
    </w:p>
    <w:p w14:paraId="1A164643">
      <w:pPr>
        <w:spacing w:line="440" w:lineRule="exact"/>
        <w:rPr>
          <w:rFonts w:ascii="宋体" w:hAnsi="宋体" w:cs="宋体"/>
          <w:b/>
          <w:bCs/>
          <w:color w:val="auto"/>
          <w:sz w:val="24"/>
          <w:highlight w:val="none"/>
        </w:rPr>
      </w:pPr>
      <w:r>
        <w:rPr>
          <w:rFonts w:hint="eastAsia" w:ascii="宋体" w:hAnsi="宋体" w:cs="宋体"/>
          <w:b/>
          <w:bCs/>
          <w:color w:val="auto"/>
          <w:sz w:val="24"/>
          <w:highlight w:val="none"/>
        </w:rPr>
        <w:br w:type="page"/>
      </w:r>
    </w:p>
    <w:p w14:paraId="46204F50">
      <w:pPr>
        <w:spacing w:line="440" w:lineRule="exact"/>
        <w:rPr>
          <w:rFonts w:ascii="宋体" w:hAnsi="宋体" w:cs="宋体"/>
          <w:color w:val="auto"/>
          <w:highlight w:val="none"/>
        </w:rPr>
      </w:pPr>
      <w:r>
        <w:rPr>
          <w:rFonts w:hint="eastAsia" w:ascii="宋体" w:hAnsi="宋体" w:cs="宋体"/>
          <w:b/>
          <w:bCs/>
          <w:color w:val="auto"/>
          <w:sz w:val="22"/>
          <w:szCs w:val="22"/>
          <w:highlight w:val="none"/>
        </w:rPr>
        <w:t>附件2：承接查验费明细</w:t>
      </w:r>
    </w:p>
    <w:tbl>
      <w:tblPr>
        <w:tblStyle w:val="22"/>
        <w:tblW w:w="9170" w:type="dxa"/>
        <w:jc w:val="center"/>
        <w:tblLayout w:type="fixed"/>
        <w:tblCellMar>
          <w:top w:w="0" w:type="dxa"/>
          <w:left w:w="108" w:type="dxa"/>
          <w:bottom w:w="0" w:type="dxa"/>
          <w:right w:w="108" w:type="dxa"/>
        </w:tblCellMar>
      </w:tblPr>
      <w:tblGrid>
        <w:gridCol w:w="695"/>
        <w:gridCol w:w="1140"/>
        <w:gridCol w:w="2940"/>
        <w:gridCol w:w="2160"/>
        <w:gridCol w:w="2235"/>
      </w:tblGrid>
      <w:tr w14:paraId="27097996">
        <w:tblPrEx>
          <w:tblCellMar>
            <w:top w:w="0" w:type="dxa"/>
            <w:left w:w="108" w:type="dxa"/>
            <w:bottom w:w="0" w:type="dxa"/>
            <w:right w:w="108" w:type="dxa"/>
          </w:tblCellMar>
        </w:tblPrEx>
        <w:trPr>
          <w:trHeight w:val="386" w:hRule="exact"/>
          <w:jc w:val="center"/>
        </w:trPr>
        <w:tc>
          <w:tcPr>
            <w:tcW w:w="695" w:type="dxa"/>
            <w:tcBorders>
              <w:top w:val="single" w:color="000000" w:sz="8" w:space="0"/>
              <w:left w:val="single" w:color="000000" w:sz="8" w:space="0"/>
              <w:bottom w:val="single" w:color="000000" w:sz="8" w:space="0"/>
              <w:right w:val="single" w:color="000000" w:sz="8" w:space="0"/>
            </w:tcBorders>
            <w:noWrap/>
            <w:vAlign w:val="center"/>
          </w:tcPr>
          <w:p w14:paraId="3C20DC92">
            <w:pPr>
              <w:widowControl/>
              <w:spacing w:line="440" w:lineRule="exact"/>
              <w:textAlignment w:val="center"/>
              <w:rPr>
                <w:rFonts w:ascii="宋体" w:hAnsi="宋体" w:cs="宋体"/>
                <w:color w:val="auto"/>
                <w:szCs w:val="21"/>
                <w:highlight w:val="none"/>
              </w:rPr>
            </w:pPr>
            <w:r>
              <w:rPr>
                <w:rFonts w:hint="eastAsia" w:ascii="宋体" w:hAnsi="宋体" w:cs="宋体"/>
                <w:color w:val="auto"/>
                <w:kern w:val="0"/>
                <w:szCs w:val="21"/>
                <w:highlight w:val="none"/>
              </w:rPr>
              <w:t>序号</w:t>
            </w:r>
          </w:p>
        </w:tc>
        <w:tc>
          <w:tcPr>
            <w:tcW w:w="1140" w:type="dxa"/>
            <w:tcBorders>
              <w:top w:val="single" w:color="000000" w:sz="8" w:space="0"/>
              <w:left w:val="nil"/>
              <w:bottom w:val="single" w:color="000000" w:sz="8" w:space="0"/>
              <w:right w:val="single" w:color="000000" w:sz="8" w:space="0"/>
            </w:tcBorders>
            <w:noWrap/>
            <w:vAlign w:val="center"/>
          </w:tcPr>
          <w:p w14:paraId="1F6AB123">
            <w:pPr>
              <w:widowControl/>
              <w:spacing w:line="440" w:lineRule="exact"/>
              <w:textAlignment w:val="center"/>
              <w:rPr>
                <w:rFonts w:ascii="宋体" w:hAnsi="宋体" w:cs="宋体"/>
                <w:color w:val="auto"/>
                <w:szCs w:val="21"/>
                <w:highlight w:val="none"/>
              </w:rPr>
            </w:pPr>
            <w:r>
              <w:rPr>
                <w:rFonts w:hint="eastAsia" w:ascii="宋体" w:hAnsi="宋体" w:cs="宋体"/>
                <w:color w:val="auto"/>
                <w:kern w:val="0"/>
                <w:szCs w:val="21"/>
                <w:highlight w:val="none"/>
              </w:rPr>
              <w:t>项目</w:t>
            </w:r>
          </w:p>
        </w:tc>
        <w:tc>
          <w:tcPr>
            <w:tcW w:w="2940" w:type="dxa"/>
            <w:tcBorders>
              <w:top w:val="single" w:color="000000" w:sz="8" w:space="0"/>
              <w:left w:val="nil"/>
              <w:bottom w:val="single" w:color="000000" w:sz="8" w:space="0"/>
              <w:right w:val="single" w:color="000000" w:sz="8" w:space="0"/>
            </w:tcBorders>
            <w:noWrap/>
            <w:vAlign w:val="center"/>
          </w:tcPr>
          <w:p w14:paraId="7957CB51">
            <w:pPr>
              <w:widowControl/>
              <w:spacing w:line="440" w:lineRule="exact"/>
              <w:textAlignment w:val="center"/>
              <w:rPr>
                <w:rFonts w:ascii="宋体" w:hAnsi="宋体" w:cs="宋体"/>
                <w:color w:val="auto"/>
                <w:szCs w:val="21"/>
                <w:highlight w:val="none"/>
              </w:rPr>
            </w:pPr>
            <w:r>
              <w:rPr>
                <w:rFonts w:hint="eastAsia" w:ascii="宋体" w:hAnsi="宋体" w:cs="宋体"/>
                <w:color w:val="auto"/>
                <w:kern w:val="0"/>
                <w:szCs w:val="21"/>
                <w:highlight w:val="none"/>
              </w:rPr>
              <w:t>测算依据及公式</w:t>
            </w:r>
          </w:p>
        </w:tc>
        <w:tc>
          <w:tcPr>
            <w:tcW w:w="2160" w:type="dxa"/>
            <w:tcBorders>
              <w:top w:val="single" w:color="000000" w:sz="8" w:space="0"/>
              <w:left w:val="nil"/>
              <w:bottom w:val="single" w:color="000000" w:sz="8" w:space="0"/>
              <w:right w:val="single" w:color="000000" w:sz="8" w:space="0"/>
            </w:tcBorders>
            <w:noWrap/>
            <w:vAlign w:val="center"/>
          </w:tcPr>
          <w:p w14:paraId="4EAD4A48">
            <w:pPr>
              <w:widowControl/>
              <w:spacing w:line="440" w:lineRule="exact"/>
              <w:textAlignment w:val="center"/>
              <w:rPr>
                <w:rFonts w:ascii="宋体" w:hAnsi="宋体" w:cs="宋体"/>
                <w:color w:val="auto"/>
                <w:szCs w:val="21"/>
                <w:highlight w:val="none"/>
              </w:rPr>
            </w:pPr>
            <w:r>
              <w:rPr>
                <w:rFonts w:hint="eastAsia" w:ascii="宋体" w:hAnsi="宋体" w:cs="宋体"/>
                <w:color w:val="auto"/>
                <w:kern w:val="0"/>
                <w:szCs w:val="21"/>
                <w:highlight w:val="none"/>
              </w:rPr>
              <w:t>总支出（元）</w:t>
            </w:r>
          </w:p>
        </w:tc>
        <w:tc>
          <w:tcPr>
            <w:tcW w:w="2235" w:type="dxa"/>
            <w:tcBorders>
              <w:top w:val="single" w:color="000000" w:sz="8" w:space="0"/>
              <w:left w:val="nil"/>
              <w:bottom w:val="single" w:color="000000" w:sz="8" w:space="0"/>
              <w:right w:val="single" w:color="000000" w:sz="8" w:space="0"/>
            </w:tcBorders>
            <w:noWrap/>
            <w:vAlign w:val="center"/>
          </w:tcPr>
          <w:p w14:paraId="49DD7D98">
            <w:pPr>
              <w:widowControl/>
              <w:spacing w:line="440" w:lineRule="exact"/>
              <w:textAlignment w:val="center"/>
              <w:rPr>
                <w:rFonts w:ascii="宋体" w:hAnsi="宋体" w:cs="宋体"/>
                <w:color w:val="auto"/>
                <w:szCs w:val="21"/>
                <w:highlight w:val="none"/>
              </w:rPr>
            </w:pPr>
            <w:r>
              <w:rPr>
                <w:rFonts w:hint="eastAsia" w:ascii="宋体" w:hAnsi="宋体" w:cs="宋体"/>
                <w:color w:val="auto"/>
                <w:kern w:val="0"/>
                <w:szCs w:val="21"/>
                <w:highlight w:val="none"/>
              </w:rPr>
              <w:t>备注</w:t>
            </w:r>
          </w:p>
        </w:tc>
      </w:tr>
      <w:tr w14:paraId="5D60356C">
        <w:tblPrEx>
          <w:tblCellMar>
            <w:top w:w="0" w:type="dxa"/>
            <w:left w:w="108" w:type="dxa"/>
            <w:bottom w:w="0" w:type="dxa"/>
            <w:right w:w="108" w:type="dxa"/>
          </w:tblCellMar>
        </w:tblPrEx>
        <w:trPr>
          <w:trHeight w:val="593" w:hRule="exact"/>
          <w:jc w:val="center"/>
        </w:trPr>
        <w:tc>
          <w:tcPr>
            <w:tcW w:w="695" w:type="dxa"/>
            <w:vMerge w:val="restart"/>
            <w:tcBorders>
              <w:top w:val="single" w:color="000000" w:sz="8" w:space="0"/>
              <w:left w:val="single" w:color="000000" w:sz="8" w:space="0"/>
              <w:bottom w:val="single" w:color="000000" w:sz="8" w:space="0"/>
              <w:right w:val="single" w:color="000000" w:sz="8" w:space="0"/>
            </w:tcBorders>
            <w:noWrap/>
            <w:vAlign w:val="center"/>
          </w:tcPr>
          <w:p w14:paraId="1E1848D2">
            <w:pPr>
              <w:widowControl/>
              <w:spacing w:line="440" w:lineRule="exact"/>
              <w:textAlignment w:val="center"/>
              <w:rPr>
                <w:rFonts w:ascii="宋体" w:hAnsi="宋体" w:cs="宋体"/>
                <w:b/>
                <w:bCs/>
                <w:color w:val="auto"/>
                <w:szCs w:val="21"/>
                <w:highlight w:val="none"/>
              </w:rPr>
            </w:pPr>
            <w:r>
              <w:rPr>
                <w:rFonts w:hint="eastAsia" w:ascii="宋体" w:hAnsi="宋体" w:cs="宋体"/>
                <w:b/>
                <w:bCs/>
                <w:color w:val="auto"/>
                <w:szCs w:val="21"/>
                <w:highlight w:val="none"/>
              </w:rPr>
              <w:t>1</w:t>
            </w:r>
          </w:p>
        </w:tc>
        <w:tc>
          <w:tcPr>
            <w:tcW w:w="1140" w:type="dxa"/>
            <w:vMerge w:val="restart"/>
            <w:tcBorders>
              <w:top w:val="single" w:color="000000" w:sz="8" w:space="0"/>
              <w:left w:val="single" w:color="000000" w:sz="8" w:space="0"/>
              <w:bottom w:val="single" w:color="000000" w:sz="8" w:space="0"/>
              <w:right w:val="single" w:color="000000" w:sz="8" w:space="0"/>
            </w:tcBorders>
            <w:noWrap/>
            <w:vAlign w:val="center"/>
          </w:tcPr>
          <w:p w14:paraId="467D6CB4">
            <w:pPr>
              <w:widowControl/>
              <w:spacing w:line="440" w:lineRule="exact"/>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工资</w:t>
            </w:r>
          </w:p>
        </w:tc>
        <w:tc>
          <w:tcPr>
            <w:tcW w:w="2940" w:type="dxa"/>
            <w:tcBorders>
              <w:top w:val="single" w:color="000000" w:sz="8" w:space="0"/>
              <w:left w:val="single" w:color="000000" w:sz="8" w:space="0"/>
              <w:bottom w:val="single" w:color="000000" w:sz="8" w:space="0"/>
              <w:right w:val="single" w:color="000000" w:sz="8" w:space="0"/>
            </w:tcBorders>
            <w:noWrap/>
            <w:vAlign w:val="center"/>
          </w:tcPr>
          <w:p w14:paraId="3A4ABF82">
            <w:pPr>
              <w:widowControl/>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人</w:t>
            </w:r>
            <w:r>
              <w:rPr>
                <w:rFonts w:hint="eastAsia" w:ascii="宋体" w:hAnsi="宋体" w:cs="宋体"/>
                <w:color w:val="auto"/>
                <w:kern w:val="0"/>
                <w:szCs w:val="21"/>
                <w:highlight w:val="none"/>
              </w:rPr>
              <w:t>×天×元/人</w:t>
            </w:r>
          </w:p>
        </w:tc>
        <w:tc>
          <w:tcPr>
            <w:tcW w:w="2160" w:type="dxa"/>
            <w:tcBorders>
              <w:top w:val="nil"/>
              <w:left w:val="nil"/>
              <w:bottom w:val="single" w:color="000000" w:sz="8" w:space="0"/>
              <w:right w:val="single" w:color="000000" w:sz="8" w:space="0"/>
            </w:tcBorders>
            <w:noWrap/>
            <w:vAlign w:val="center"/>
          </w:tcPr>
          <w:p w14:paraId="1C1BD532">
            <w:pPr>
              <w:widowControl/>
              <w:spacing w:line="440" w:lineRule="exact"/>
              <w:textAlignment w:val="center"/>
              <w:rPr>
                <w:rFonts w:ascii="宋体" w:hAnsi="宋体" w:cs="宋体"/>
                <w:color w:val="auto"/>
                <w:szCs w:val="21"/>
                <w:highlight w:val="none"/>
              </w:rPr>
            </w:pPr>
          </w:p>
        </w:tc>
        <w:tc>
          <w:tcPr>
            <w:tcW w:w="2235" w:type="dxa"/>
            <w:tcBorders>
              <w:top w:val="nil"/>
              <w:left w:val="nil"/>
              <w:bottom w:val="single" w:color="000000" w:sz="8" w:space="0"/>
              <w:right w:val="single" w:color="000000" w:sz="8" w:space="0"/>
            </w:tcBorders>
            <w:noWrap/>
            <w:vAlign w:val="center"/>
          </w:tcPr>
          <w:p w14:paraId="3DE276E1">
            <w:pPr>
              <w:spacing w:line="440" w:lineRule="exact"/>
              <w:ind w:left="420" w:hanging="420" w:hangingChars="200"/>
              <w:rPr>
                <w:rFonts w:ascii="宋体" w:hAnsi="宋体" w:cs="宋体"/>
                <w:color w:val="auto"/>
                <w:szCs w:val="21"/>
                <w:highlight w:val="none"/>
              </w:rPr>
            </w:pPr>
            <w:r>
              <w:rPr>
                <w:rFonts w:hint="eastAsia" w:ascii="宋体" w:hAnsi="宋体" w:cs="宋体"/>
                <w:color w:val="auto"/>
                <w:szCs w:val="21"/>
                <w:highlight w:val="none"/>
              </w:rPr>
              <w:t>住宅</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幢、商业</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幢</w:t>
            </w:r>
          </w:p>
        </w:tc>
      </w:tr>
      <w:tr w14:paraId="6205559F">
        <w:tblPrEx>
          <w:tblCellMar>
            <w:top w:w="0" w:type="dxa"/>
            <w:left w:w="108" w:type="dxa"/>
            <w:bottom w:w="0" w:type="dxa"/>
            <w:right w:w="108" w:type="dxa"/>
          </w:tblCellMar>
        </w:tblPrEx>
        <w:trPr>
          <w:trHeight w:val="386" w:hRule="exact"/>
          <w:jc w:val="center"/>
        </w:trPr>
        <w:tc>
          <w:tcPr>
            <w:tcW w:w="695" w:type="dxa"/>
            <w:vMerge w:val="continue"/>
            <w:tcBorders>
              <w:top w:val="single" w:color="000000" w:sz="8" w:space="0"/>
              <w:left w:val="single" w:color="000000" w:sz="8" w:space="0"/>
              <w:bottom w:val="single" w:color="000000" w:sz="8" w:space="0"/>
              <w:right w:val="single" w:color="000000" w:sz="8" w:space="0"/>
            </w:tcBorders>
            <w:noWrap/>
            <w:vAlign w:val="center"/>
          </w:tcPr>
          <w:p w14:paraId="23F2FD5E">
            <w:pPr>
              <w:widowControl/>
              <w:spacing w:line="440" w:lineRule="exact"/>
              <w:textAlignment w:val="center"/>
              <w:rPr>
                <w:rFonts w:ascii="宋体" w:hAnsi="宋体" w:cs="宋体"/>
                <w:b/>
                <w:bCs/>
                <w:color w:val="auto"/>
                <w:szCs w:val="21"/>
                <w:highlight w:val="none"/>
              </w:rPr>
            </w:pPr>
          </w:p>
        </w:tc>
        <w:tc>
          <w:tcPr>
            <w:tcW w:w="1140" w:type="dxa"/>
            <w:vMerge w:val="continue"/>
            <w:tcBorders>
              <w:top w:val="single" w:color="000000" w:sz="8" w:space="0"/>
              <w:left w:val="single" w:color="000000" w:sz="8" w:space="0"/>
              <w:bottom w:val="single" w:color="000000" w:sz="8" w:space="0"/>
              <w:right w:val="single" w:color="000000" w:sz="8" w:space="0"/>
            </w:tcBorders>
            <w:noWrap/>
            <w:vAlign w:val="center"/>
          </w:tcPr>
          <w:p w14:paraId="179DF230">
            <w:pPr>
              <w:widowControl/>
              <w:spacing w:line="440" w:lineRule="exact"/>
              <w:textAlignment w:val="center"/>
              <w:rPr>
                <w:rFonts w:ascii="宋体" w:hAnsi="宋体" w:cs="宋体"/>
                <w:b/>
                <w:bCs/>
                <w:color w:val="auto"/>
                <w:kern w:val="0"/>
                <w:szCs w:val="21"/>
                <w:highlight w:val="none"/>
              </w:rPr>
            </w:pPr>
          </w:p>
        </w:tc>
        <w:tc>
          <w:tcPr>
            <w:tcW w:w="2940" w:type="dxa"/>
            <w:tcBorders>
              <w:top w:val="single" w:color="000000" w:sz="8" w:space="0"/>
              <w:left w:val="single" w:color="000000" w:sz="8" w:space="0"/>
              <w:bottom w:val="single" w:color="000000" w:sz="8" w:space="0"/>
              <w:right w:val="single" w:color="000000" w:sz="8" w:space="0"/>
            </w:tcBorders>
            <w:noWrap/>
            <w:vAlign w:val="center"/>
          </w:tcPr>
          <w:p w14:paraId="4A1BB46D">
            <w:pPr>
              <w:widowControl/>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人</w:t>
            </w:r>
            <w:r>
              <w:rPr>
                <w:rFonts w:hint="eastAsia" w:ascii="宋体" w:hAnsi="宋体" w:cs="宋体"/>
                <w:color w:val="auto"/>
                <w:kern w:val="0"/>
                <w:szCs w:val="21"/>
                <w:highlight w:val="none"/>
              </w:rPr>
              <w:t>×天×元/人</w:t>
            </w:r>
          </w:p>
        </w:tc>
        <w:tc>
          <w:tcPr>
            <w:tcW w:w="2160" w:type="dxa"/>
            <w:tcBorders>
              <w:top w:val="nil"/>
              <w:left w:val="nil"/>
              <w:bottom w:val="single" w:color="000000" w:sz="8" w:space="0"/>
              <w:right w:val="single" w:color="000000" w:sz="8" w:space="0"/>
            </w:tcBorders>
            <w:noWrap/>
            <w:vAlign w:val="center"/>
          </w:tcPr>
          <w:p w14:paraId="3B4CA118">
            <w:pPr>
              <w:widowControl/>
              <w:spacing w:line="440" w:lineRule="exact"/>
              <w:textAlignment w:val="center"/>
              <w:rPr>
                <w:rFonts w:ascii="宋体" w:hAnsi="宋体" w:cs="宋体"/>
                <w:color w:val="auto"/>
                <w:szCs w:val="21"/>
                <w:highlight w:val="none"/>
              </w:rPr>
            </w:pPr>
          </w:p>
        </w:tc>
        <w:tc>
          <w:tcPr>
            <w:tcW w:w="2235" w:type="dxa"/>
            <w:tcBorders>
              <w:top w:val="nil"/>
              <w:left w:val="nil"/>
              <w:bottom w:val="single" w:color="000000" w:sz="8" w:space="0"/>
              <w:right w:val="single" w:color="000000" w:sz="8" w:space="0"/>
            </w:tcBorders>
            <w:noWrap/>
            <w:vAlign w:val="center"/>
          </w:tcPr>
          <w:p w14:paraId="70EA958D">
            <w:pPr>
              <w:spacing w:line="440" w:lineRule="exact"/>
              <w:rPr>
                <w:rFonts w:ascii="宋体" w:hAnsi="宋体" w:cs="宋体"/>
                <w:color w:val="auto"/>
                <w:szCs w:val="21"/>
                <w:highlight w:val="none"/>
              </w:rPr>
            </w:pPr>
            <w:r>
              <w:rPr>
                <w:rFonts w:hint="eastAsia" w:ascii="宋体" w:hAnsi="宋体" w:cs="宋体"/>
                <w:color w:val="auto"/>
                <w:szCs w:val="21"/>
                <w:highlight w:val="none"/>
              </w:rPr>
              <w:t>弱电查验</w:t>
            </w:r>
          </w:p>
        </w:tc>
      </w:tr>
      <w:tr w14:paraId="17626EFB">
        <w:tblPrEx>
          <w:tblCellMar>
            <w:top w:w="0" w:type="dxa"/>
            <w:left w:w="108" w:type="dxa"/>
            <w:bottom w:w="0" w:type="dxa"/>
            <w:right w:w="108" w:type="dxa"/>
          </w:tblCellMar>
        </w:tblPrEx>
        <w:trPr>
          <w:trHeight w:val="386" w:hRule="exact"/>
          <w:jc w:val="center"/>
        </w:trPr>
        <w:tc>
          <w:tcPr>
            <w:tcW w:w="695" w:type="dxa"/>
            <w:vMerge w:val="continue"/>
            <w:tcBorders>
              <w:top w:val="single" w:color="000000" w:sz="8" w:space="0"/>
              <w:left w:val="single" w:color="000000" w:sz="8" w:space="0"/>
              <w:bottom w:val="single" w:color="000000" w:sz="8" w:space="0"/>
              <w:right w:val="single" w:color="000000" w:sz="8" w:space="0"/>
            </w:tcBorders>
            <w:noWrap/>
            <w:vAlign w:val="center"/>
          </w:tcPr>
          <w:p w14:paraId="6B0D2435">
            <w:pPr>
              <w:widowControl/>
              <w:spacing w:line="440" w:lineRule="exact"/>
              <w:textAlignment w:val="center"/>
              <w:rPr>
                <w:rFonts w:ascii="宋体" w:hAnsi="宋体" w:cs="宋体"/>
                <w:b/>
                <w:bCs/>
                <w:color w:val="auto"/>
                <w:szCs w:val="21"/>
                <w:highlight w:val="none"/>
              </w:rPr>
            </w:pPr>
          </w:p>
        </w:tc>
        <w:tc>
          <w:tcPr>
            <w:tcW w:w="1140" w:type="dxa"/>
            <w:vMerge w:val="continue"/>
            <w:tcBorders>
              <w:top w:val="single" w:color="000000" w:sz="8" w:space="0"/>
              <w:left w:val="single" w:color="000000" w:sz="8" w:space="0"/>
              <w:bottom w:val="single" w:color="000000" w:sz="8" w:space="0"/>
              <w:right w:val="single" w:color="000000" w:sz="8" w:space="0"/>
            </w:tcBorders>
            <w:noWrap/>
            <w:vAlign w:val="center"/>
          </w:tcPr>
          <w:p w14:paraId="2C6C4366">
            <w:pPr>
              <w:widowControl/>
              <w:spacing w:line="440" w:lineRule="exact"/>
              <w:textAlignment w:val="center"/>
              <w:rPr>
                <w:rFonts w:ascii="宋体" w:hAnsi="宋体" w:cs="宋体"/>
                <w:b/>
                <w:bCs/>
                <w:color w:val="auto"/>
                <w:kern w:val="0"/>
                <w:szCs w:val="21"/>
                <w:highlight w:val="none"/>
              </w:rPr>
            </w:pPr>
          </w:p>
        </w:tc>
        <w:tc>
          <w:tcPr>
            <w:tcW w:w="2940" w:type="dxa"/>
            <w:tcBorders>
              <w:top w:val="single" w:color="000000" w:sz="8" w:space="0"/>
              <w:left w:val="single" w:color="000000" w:sz="8" w:space="0"/>
              <w:bottom w:val="single" w:color="000000" w:sz="8" w:space="0"/>
              <w:right w:val="single" w:color="000000" w:sz="8" w:space="0"/>
            </w:tcBorders>
            <w:noWrap/>
            <w:vAlign w:val="center"/>
          </w:tcPr>
          <w:p w14:paraId="6AC716F5">
            <w:pPr>
              <w:widowControl/>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人</w:t>
            </w:r>
            <w:r>
              <w:rPr>
                <w:rFonts w:hint="eastAsia" w:ascii="宋体" w:hAnsi="宋体" w:cs="宋体"/>
                <w:color w:val="auto"/>
                <w:kern w:val="0"/>
                <w:szCs w:val="21"/>
                <w:highlight w:val="none"/>
              </w:rPr>
              <w:t>×天×元/人</w:t>
            </w:r>
          </w:p>
        </w:tc>
        <w:tc>
          <w:tcPr>
            <w:tcW w:w="2160" w:type="dxa"/>
            <w:tcBorders>
              <w:top w:val="nil"/>
              <w:left w:val="nil"/>
              <w:bottom w:val="single" w:color="000000" w:sz="8" w:space="0"/>
              <w:right w:val="single" w:color="000000" w:sz="8" w:space="0"/>
            </w:tcBorders>
            <w:noWrap/>
            <w:vAlign w:val="center"/>
          </w:tcPr>
          <w:p w14:paraId="0E1D8698">
            <w:pPr>
              <w:widowControl/>
              <w:spacing w:line="440" w:lineRule="exact"/>
              <w:textAlignment w:val="center"/>
              <w:rPr>
                <w:rFonts w:ascii="宋体" w:hAnsi="宋体" w:cs="宋体"/>
                <w:color w:val="auto"/>
                <w:szCs w:val="21"/>
                <w:highlight w:val="none"/>
              </w:rPr>
            </w:pPr>
          </w:p>
        </w:tc>
        <w:tc>
          <w:tcPr>
            <w:tcW w:w="2235" w:type="dxa"/>
            <w:tcBorders>
              <w:top w:val="nil"/>
              <w:left w:val="nil"/>
              <w:bottom w:val="single" w:color="000000" w:sz="8" w:space="0"/>
              <w:right w:val="single" w:color="000000" w:sz="8" w:space="0"/>
            </w:tcBorders>
            <w:noWrap/>
            <w:vAlign w:val="center"/>
          </w:tcPr>
          <w:p w14:paraId="6F0FB08E">
            <w:pPr>
              <w:spacing w:line="440" w:lineRule="exact"/>
              <w:rPr>
                <w:rFonts w:ascii="宋体" w:hAnsi="宋体" w:cs="宋体"/>
                <w:color w:val="auto"/>
                <w:szCs w:val="21"/>
                <w:highlight w:val="none"/>
              </w:rPr>
            </w:pPr>
            <w:r>
              <w:rPr>
                <w:rFonts w:hint="eastAsia" w:ascii="宋体" w:hAnsi="宋体" w:cs="宋体"/>
                <w:color w:val="auto"/>
                <w:szCs w:val="21"/>
                <w:highlight w:val="none"/>
              </w:rPr>
              <w:t>电梯查验</w:t>
            </w:r>
          </w:p>
        </w:tc>
      </w:tr>
      <w:tr w14:paraId="104CBFEB">
        <w:tblPrEx>
          <w:tblCellMar>
            <w:top w:w="0" w:type="dxa"/>
            <w:left w:w="108" w:type="dxa"/>
            <w:bottom w:w="0" w:type="dxa"/>
            <w:right w:w="108" w:type="dxa"/>
          </w:tblCellMar>
        </w:tblPrEx>
        <w:trPr>
          <w:trHeight w:val="386" w:hRule="exact"/>
          <w:jc w:val="center"/>
        </w:trPr>
        <w:tc>
          <w:tcPr>
            <w:tcW w:w="695" w:type="dxa"/>
            <w:vMerge w:val="continue"/>
            <w:tcBorders>
              <w:top w:val="single" w:color="000000" w:sz="8" w:space="0"/>
              <w:left w:val="single" w:color="000000" w:sz="8" w:space="0"/>
              <w:bottom w:val="single" w:color="000000" w:sz="8" w:space="0"/>
              <w:right w:val="single" w:color="000000" w:sz="8" w:space="0"/>
            </w:tcBorders>
            <w:noWrap/>
            <w:vAlign w:val="center"/>
          </w:tcPr>
          <w:p w14:paraId="25179484">
            <w:pPr>
              <w:widowControl/>
              <w:spacing w:line="440" w:lineRule="exact"/>
              <w:textAlignment w:val="center"/>
              <w:rPr>
                <w:rFonts w:ascii="宋体" w:hAnsi="宋体" w:cs="宋体"/>
                <w:b/>
                <w:bCs/>
                <w:color w:val="auto"/>
                <w:szCs w:val="21"/>
                <w:highlight w:val="none"/>
              </w:rPr>
            </w:pPr>
          </w:p>
        </w:tc>
        <w:tc>
          <w:tcPr>
            <w:tcW w:w="1140" w:type="dxa"/>
            <w:vMerge w:val="continue"/>
            <w:tcBorders>
              <w:top w:val="single" w:color="000000" w:sz="8" w:space="0"/>
              <w:left w:val="single" w:color="000000" w:sz="8" w:space="0"/>
              <w:bottom w:val="single" w:color="000000" w:sz="8" w:space="0"/>
              <w:right w:val="single" w:color="000000" w:sz="8" w:space="0"/>
            </w:tcBorders>
            <w:noWrap/>
            <w:vAlign w:val="center"/>
          </w:tcPr>
          <w:p w14:paraId="0C13A63C">
            <w:pPr>
              <w:widowControl/>
              <w:spacing w:line="440" w:lineRule="exact"/>
              <w:textAlignment w:val="center"/>
              <w:rPr>
                <w:rFonts w:ascii="宋体" w:hAnsi="宋体" w:cs="宋体"/>
                <w:b/>
                <w:bCs/>
                <w:color w:val="auto"/>
                <w:kern w:val="0"/>
                <w:szCs w:val="21"/>
                <w:highlight w:val="none"/>
              </w:rPr>
            </w:pPr>
          </w:p>
        </w:tc>
        <w:tc>
          <w:tcPr>
            <w:tcW w:w="2940" w:type="dxa"/>
            <w:tcBorders>
              <w:top w:val="single" w:color="000000" w:sz="8" w:space="0"/>
              <w:left w:val="single" w:color="000000" w:sz="8" w:space="0"/>
              <w:bottom w:val="single" w:color="000000" w:sz="8" w:space="0"/>
              <w:right w:val="single" w:color="000000" w:sz="8" w:space="0"/>
            </w:tcBorders>
            <w:noWrap/>
            <w:vAlign w:val="center"/>
          </w:tcPr>
          <w:p w14:paraId="33F16A7F">
            <w:pPr>
              <w:widowControl/>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人</w:t>
            </w:r>
            <w:r>
              <w:rPr>
                <w:rFonts w:hint="eastAsia" w:ascii="宋体" w:hAnsi="宋体" w:cs="宋体"/>
                <w:color w:val="auto"/>
                <w:kern w:val="0"/>
                <w:szCs w:val="21"/>
                <w:highlight w:val="none"/>
              </w:rPr>
              <w:t>×天×元/人</w:t>
            </w:r>
          </w:p>
        </w:tc>
        <w:tc>
          <w:tcPr>
            <w:tcW w:w="2160" w:type="dxa"/>
            <w:tcBorders>
              <w:top w:val="nil"/>
              <w:left w:val="nil"/>
              <w:bottom w:val="single" w:color="000000" w:sz="8" w:space="0"/>
              <w:right w:val="single" w:color="000000" w:sz="8" w:space="0"/>
            </w:tcBorders>
            <w:noWrap/>
            <w:vAlign w:val="center"/>
          </w:tcPr>
          <w:p w14:paraId="3BC4363C">
            <w:pPr>
              <w:widowControl/>
              <w:spacing w:line="440" w:lineRule="exact"/>
              <w:textAlignment w:val="center"/>
              <w:rPr>
                <w:rFonts w:ascii="宋体" w:hAnsi="宋体" w:cs="宋体"/>
                <w:color w:val="auto"/>
                <w:szCs w:val="21"/>
                <w:highlight w:val="none"/>
              </w:rPr>
            </w:pPr>
          </w:p>
        </w:tc>
        <w:tc>
          <w:tcPr>
            <w:tcW w:w="2235" w:type="dxa"/>
            <w:tcBorders>
              <w:top w:val="nil"/>
              <w:left w:val="nil"/>
              <w:bottom w:val="single" w:color="000000" w:sz="8" w:space="0"/>
              <w:right w:val="single" w:color="000000" w:sz="8" w:space="0"/>
            </w:tcBorders>
            <w:noWrap/>
            <w:vAlign w:val="center"/>
          </w:tcPr>
          <w:p w14:paraId="4679B6D2">
            <w:pPr>
              <w:spacing w:line="440" w:lineRule="exact"/>
              <w:rPr>
                <w:rFonts w:ascii="宋体" w:hAnsi="宋体" w:cs="宋体"/>
                <w:color w:val="auto"/>
                <w:szCs w:val="21"/>
                <w:highlight w:val="none"/>
              </w:rPr>
            </w:pPr>
            <w:r>
              <w:rPr>
                <w:rFonts w:hint="eastAsia" w:ascii="宋体" w:hAnsi="宋体" w:cs="宋体"/>
                <w:color w:val="auto"/>
                <w:szCs w:val="21"/>
                <w:highlight w:val="none"/>
              </w:rPr>
              <w:t>消防查验</w:t>
            </w:r>
          </w:p>
        </w:tc>
      </w:tr>
      <w:tr w14:paraId="4FDC387A">
        <w:tblPrEx>
          <w:tblCellMar>
            <w:top w:w="0" w:type="dxa"/>
            <w:left w:w="108" w:type="dxa"/>
            <w:bottom w:w="0" w:type="dxa"/>
            <w:right w:w="108" w:type="dxa"/>
          </w:tblCellMar>
        </w:tblPrEx>
        <w:trPr>
          <w:trHeight w:val="386" w:hRule="exact"/>
          <w:jc w:val="center"/>
        </w:trPr>
        <w:tc>
          <w:tcPr>
            <w:tcW w:w="695" w:type="dxa"/>
            <w:vMerge w:val="continue"/>
            <w:tcBorders>
              <w:top w:val="single" w:color="000000" w:sz="8" w:space="0"/>
              <w:left w:val="single" w:color="000000" w:sz="8" w:space="0"/>
              <w:bottom w:val="single" w:color="000000" w:sz="8" w:space="0"/>
              <w:right w:val="single" w:color="000000" w:sz="8" w:space="0"/>
            </w:tcBorders>
            <w:noWrap/>
            <w:vAlign w:val="center"/>
          </w:tcPr>
          <w:p w14:paraId="189AC262">
            <w:pPr>
              <w:widowControl/>
              <w:spacing w:line="440" w:lineRule="exact"/>
              <w:textAlignment w:val="center"/>
              <w:rPr>
                <w:rFonts w:ascii="宋体" w:hAnsi="宋体" w:cs="宋体"/>
                <w:b/>
                <w:bCs/>
                <w:color w:val="auto"/>
                <w:szCs w:val="21"/>
                <w:highlight w:val="none"/>
              </w:rPr>
            </w:pPr>
          </w:p>
        </w:tc>
        <w:tc>
          <w:tcPr>
            <w:tcW w:w="1140" w:type="dxa"/>
            <w:vMerge w:val="continue"/>
            <w:tcBorders>
              <w:top w:val="single" w:color="000000" w:sz="8" w:space="0"/>
              <w:left w:val="single" w:color="000000" w:sz="8" w:space="0"/>
              <w:bottom w:val="single" w:color="000000" w:sz="8" w:space="0"/>
              <w:right w:val="single" w:color="000000" w:sz="8" w:space="0"/>
            </w:tcBorders>
            <w:noWrap/>
            <w:vAlign w:val="center"/>
          </w:tcPr>
          <w:p w14:paraId="678D44D0">
            <w:pPr>
              <w:widowControl/>
              <w:spacing w:line="440" w:lineRule="exact"/>
              <w:textAlignment w:val="center"/>
              <w:rPr>
                <w:rFonts w:ascii="宋体" w:hAnsi="宋体" w:cs="宋体"/>
                <w:b/>
                <w:bCs/>
                <w:color w:val="auto"/>
                <w:kern w:val="0"/>
                <w:szCs w:val="21"/>
                <w:highlight w:val="none"/>
              </w:rPr>
            </w:pPr>
          </w:p>
        </w:tc>
        <w:tc>
          <w:tcPr>
            <w:tcW w:w="2940" w:type="dxa"/>
            <w:tcBorders>
              <w:top w:val="single" w:color="000000" w:sz="8" w:space="0"/>
              <w:left w:val="single" w:color="000000" w:sz="8" w:space="0"/>
              <w:bottom w:val="single" w:color="000000" w:sz="8" w:space="0"/>
              <w:right w:val="single" w:color="000000" w:sz="8" w:space="0"/>
            </w:tcBorders>
            <w:noWrap/>
            <w:vAlign w:val="center"/>
          </w:tcPr>
          <w:p w14:paraId="282DDD71">
            <w:pPr>
              <w:widowControl/>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人</w:t>
            </w:r>
            <w:r>
              <w:rPr>
                <w:rFonts w:hint="eastAsia" w:ascii="宋体" w:hAnsi="宋体" w:cs="宋体"/>
                <w:color w:val="auto"/>
                <w:kern w:val="0"/>
                <w:szCs w:val="21"/>
                <w:highlight w:val="none"/>
              </w:rPr>
              <w:t>×天×元/人</w:t>
            </w:r>
          </w:p>
        </w:tc>
        <w:tc>
          <w:tcPr>
            <w:tcW w:w="2160" w:type="dxa"/>
            <w:tcBorders>
              <w:top w:val="nil"/>
              <w:left w:val="nil"/>
              <w:bottom w:val="single" w:color="000000" w:sz="8" w:space="0"/>
              <w:right w:val="single" w:color="000000" w:sz="8" w:space="0"/>
            </w:tcBorders>
            <w:noWrap/>
            <w:vAlign w:val="center"/>
          </w:tcPr>
          <w:p w14:paraId="38622389">
            <w:pPr>
              <w:widowControl/>
              <w:spacing w:line="440" w:lineRule="exact"/>
              <w:textAlignment w:val="center"/>
              <w:rPr>
                <w:rFonts w:ascii="宋体" w:hAnsi="宋体" w:cs="宋体"/>
                <w:color w:val="auto"/>
                <w:szCs w:val="21"/>
                <w:highlight w:val="none"/>
              </w:rPr>
            </w:pPr>
          </w:p>
        </w:tc>
        <w:tc>
          <w:tcPr>
            <w:tcW w:w="2235" w:type="dxa"/>
            <w:tcBorders>
              <w:top w:val="nil"/>
              <w:left w:val="nil"/>
              <w:bottom w:val="single" w:color="000000" w:sz="8" w:space="0"/>
              <w:right w:val="single" w:color="000000" w:sz="8" w:space="0"/>
            </w:tcBorders>
            <w:noWrap/>
            <w:vAlign w:val="center"/>
          </w:tcPr>
          <w:p w14:paraId="062203E0">
            <w:pPr>
              <w:spacing w:line="440" w:lineRule="exact"/>
              <w:rPr>
                <w:rFonts w:ascii="宋体" w:hAnsi="宋体" w:cs="宋体"/>
                <w:color w:val="auto"/>
                <w:szCs w:val="21"/>
                <w:highlight w:val="none"/>
              </w:rPr>
            </w:pPr>
            <w:r>
              <w:rPr>
                <w:rFonts w:hint="eastAsia" w:ascii="宋体" w:hAnsi="宋体" w:cs="宋体"/>
                <w:color w:val="auto"/>
                <w:szCs w:val="21"/>
                <w:highlight w:val="none"/>
              </w:rPr>
              <w:t>电工</w:t>
            </w:r>
          </w:p>
        </w:tc>
      </w:tr>
      <w:tr w14:paraId="69F057A0">
        <w:tblPrEx>
          <w:tblCellMar>
            <w:top w:w="0" w:type="dxa"/>
            <w:left w:w="108" w:type="dxa"/>
            <w:bottom w:w="0" w:type="dxa"/>
            <w:right w:w="108" w:type="dxa"/>
          </w:tblCellMar>
        </w:tblPrEx>
        <w:trPr>
          <w:trHeight w:val="386" w:hRule="exact"/>
          <w:jc w:val="center"/>
        </w:trPr>
        <w:tc>
          <w:tcPr>
            <w:tcW w:w="695" w:type="dxa"/>
            <w:tcBorders>
              <w:top w:val="single" w:color="000000" w:sz="8" w:space="0"/>
              <w:left w:val="single" w:color="000000" w:sz="8" w:space="0"/>
              <w:bottom w:val="single" w:color="000000" w:sz="8" w:space="0"/>
              <w:right w:val="single" w:color="000000" w:sz="8" w:space="0"/>
            </w:tcBorders>
            <w:noWrap/>
            <w:vAlign w:val="center"/>
          </w:tcPr>
          <w:p w14:paraId="61DD5A50">
            <w:pPr>
              <w:widowControl/>
              <w:spacing w:line="440" w:lineRule="exact"/>
              <w:textAlignment w:val="center"/>
              <w:rPr>
                <w:rFonts w:ascii="宋体" w:hAnsi="宋体" w:cs="宋体"/>
                <w:b/>
                <w:bCs/>
                <w:color w:val="auto"/>
                <w:szCs w:val="21"/>
                <w:highlight w:val="none"/>
              </w:rPr>
            </w:pPr>
            <w:r>
              <w:rPr>
                <w:rFonts w:hint="eastAsia" w:ascii="宋体" w:hAnsi="宋体" w:cs="宋体"/>
                <w:b/>
                <w:bCs/>
                <w:color w:val="auto"/>
                <w:szCs w:val="21"/>
                <w:highlight w:val="none"/>
              </w:rPr>
              <w:t>2</w:t>
            </w:r>
          </w:p>
        </w:tc>
        <w:tc>
          <w:tcPr>
            <w:tcW w:w="1140" w:type="dxa"/>
            <w:tcBorders>
              <w:top w:val="single" w:color="000000" w:sz="8" w:space="0"/>
              <w:left w:val="nil"/>
              <w:bottom w:val="single" w:color="000000" w:sz="8" w:space="0"/>
              <w:right w:val="single" w:color="000000" w:sz="8" w:space="0"/>
            </w:tcBorders>
            <w:noWrap/>
            <w:vAlign w:val="center"/>
          </w:tcPr>
          <w:p w14:paraId="2C949C1C">
            <w:pPr>
              <w:widowControl/>
              <w:spacing w:line="440" w:lineRule="exac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保险费</w:t>
            </w:r>
          </w:p>
        </w:tc>
        <w:tc>
          <w:tcPr>
            <w:tcW w:w="2940" w:type="dxa"/>
            <w:tcBorders>
              <w:top w:val="single" w:color="000000" w:sz="8" w:space="0"/>
              <w:left w:val="nil"/>
              <w:bottom w:val="single" w:color="000000" w:sz="8" w:space="0"/>
              <w:right w:val="single" w:color="000000" w:sz="8" w:space="0"/>
            </w:tcBorders>
            <w:noWrap/>
            <w:vAlign w:val="center"/>
          </w:tcPr>
          <w:p w14:paraId="776F0400">
            <w:pPr>
              <w:widowControl/>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人</w:t>
            </w:r>
            <w:r>
              <w:rPr>
                <w:rFonts w:hint="eastAsia" w:ascii="宋体" w:hAnsi="宋体" w:cs="宋体"/>
                <w:color w:val="auto"/>
                <w:kern w:val="0"/>
                <w:szCs w:val="21"/>
                <w:highlight w:val="none"/>
              </w:rPr>
              <w:t>×元/人</w:t>
            </w:r>
          </w:p>
        </w:tc>
        <w:tc>
          <w:tcPr>
            <w:tcW w:w="2160" w:type="dxa"/>
            <w:tcBorders>
              <w:top w:val="nil"/>
              <w:left w:val="nil"/>
              <w:bottom w:val="single" w:color="000000" w:sz="8" w:space="0"/>
              <w:right w:val="single" w:color="000000" w:sz="8" w:space="0"/>
            </w:tcBorders>
            <w:noWrap/>
            <w:vAlign w:val="center"/>
          </w:tcPr>
          <w:p w14:paraId="336888AC">
            <w:pPr>
              <w:widowControl/>
              <w:spacing w:line="440" w:lineRule="exact"/>
              <w:textAlignment w:val="center"/>
              <w:rPr>
                <w:rFonts w:ascii="宋体" w:hAnsi="宋体" w:cs="宋体"/>
                <w:color w:val="auto"/>
                <w:szCs w:val="21"/>
                <w:highlight w:val="none"/>
              </w:rPr>
            </w:pPr>
          </w:p>
        </w:tc>
        <w:tc>
          <w:tcPr>
            <w:tcW w:w="2235" w:type="dxa"/>
            <w:tcBorders>
              <w:top w:val="nil"/>
              <w:left w:val="nil"/>
              <w:bottom w:val="single" w:color="000000" w:sz="8" w:space="0"/>
              <w:right w:val="single" w:color="000000" w:sz="8" w:space="0"/>
            </w:tcBorders>
            <w:noWrap/>
            <w:vAlign w:val="center"/>
          </w:tcPr>
          <w:p w14:paraId="38900AA7">
            <w:pPr>
              <w:spacing w:line="440" w:lineRule="exact"/>
              <w:rPr>
                <w:rFonts w:ascii="宋体" w:hAnsi="宋体" w:cs="宋体"/>
                <w:color w:val="auto"/>
                <w:szCs w:val="21"/>
                <w:highlight w:val="none"/>
              </w:rPr>
            </w:pPr>
          </w:p>
        </w:tc>
      </w:tr>
      <w:tr w14:paraId="00305640">
        <w:tblPrEx>
          <w:tblCellMar>
            <w:top w:w="0" w:type="dxa"/>
            <w:left w:w="108" w:type="dxa"/>
            <w:bottom w:w="0" w:type="dxa"/>
            <w:right w:w="108" w:type="dxa"/>
          </w:tblCellMar>
        </w:tblPrEx>
        <w:trPr>
          <w:trHeight w:val="386" w:hRule="exact"/>
          <w:jc w:val="center"/>
        </w:trPr>
        <w:tc>
          <w:tcPr>
            <w:tcW w:w="695" w:type="dxa"/>
            <w:tcBorders>
              <w:top w:val="single" w:color="000000" w:sz="8" w:space="0"/>
              <w:left w:val="single" w:color="000000" w:sz="8" w:space="0"/>
              <w:bottom w:val="single" w:color="000000" w:sz="8" w:space="0"/>
              <w:right w:val="single" w:color="000000" w:sz="8" w:space="0"/>
            </w:tcBorders>
            <w:noWrap/>
            <w:vAlign w:val="center"/>
          </w:tcPr>
          <w:p w14:paraId="0213ADC7">
            <w:pPr>
              <w:widowControl/>
              <w:spacing w:line="440" w:lineRule="exact"/>
              <w:textAlignment w:val="center"/>
              <w:rPr>
                <w:rFonts w:ascii="宋体" w:hAnsi="宋体" w:cs="宋体"/>
                <w:b/>
                <w:bCs/>
                <w:color w:val="auto"/>
                <w:szCs w:val="21"/>
                <w:highlight w:val="none"/>
              </w:rPr>
            </w:pPr>
            <w:r>
              <w:rPr>
                <w:rFonts w:hint="eastAsia" w:ascii="宋体" w:hAnsi="宋体" w:cs="宋体"/>
                <w:b/>
                <w:bCs/>
                <w:color w:val="auto"/>
                <w:szCs w:val="21"/>
                <w:highlight w:val="none"/>
              </w:rPr>
              <w:t>3</w:t>
            </w:r>
          </w:p>
        </w:tc>
        <w:tc>
          <w:tcPr>
            <w:tcW w:w="1140" w:type="dxa"/>
            <w:tcBorders>
              <w:top w:val="single" w:color="000000" w:sz="8" w:space="0"/>
              <w:left w:val="nil"/>
              <w:bottom w:val="single" w:color="000000" w:sz="8" w:space="0"/>
              <w:right w:val="single" w:color="000000" w:sz="8" w:space="0"/>
            </w:tcBorders>
            <w:noWrap/>
            <w:vAlign w:val="center"/>
          </w:tcPr>
          <w:p w14:paraId="5AFF0BA2">
            <w:pPr>
              <w:widowControl/>
              <w:spacing w:line="440" w:lineRule="exact"/>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餐费</w:t>
            </w:r>
          </w:p>
        </w:tc>
        <w:tc>
          <w:tcPr>
            <w:tcW w:w="2940" w:type="dxa"/>
            <w:tcBorders>
              <w:top w:val="single" w:color="000000" w:sz="8" w:space="0"/>
              <w:left w:val="nil"/>
              <w:bottom w:val="single" w:color="000000" w:sz="8" w:space="0"/>
              <w:right w:val="single" w:color="000000" w:sz="8" w:space="0"/>
            </w:tcBorders>
            <w:noWrap/>
            <w:vAlign w:val="center"/>
          </w:tcPr>
          <w:p w14:paraId="30FEE266">
            <w:pPr>
              <w:widowControl/>
              <w:spacing w:line="440" w:lineRule="exact"/>
              <w:textAlignment w:val="center"/>
              <w:rPr>
                <w:rFonts w:ascii="宋体" w:hAnsi="宋体" w:cs="宋体"/>
                <w:color w:val="auto"/>
                <w:szCs w:val="21"/>
                <w:highlight w:val="none"/>
              </w:rPr>
            </w:pPr>
          </w:p>
        </w:tc>
        <w:tc>
          <w:tcPr>
            <w:tcW w:w="2160" w:type="dxa"/>
            <w:tcBorders>
              <w:top w:val="nil"/>
              <w:left w:val="nil"/>
              <w:bottom w:val="single" w:color="000000" w:sz="8" w:space="0"/>
              <w:right w:val="single" w:color="000000" w:sz="8" w:space="0"/>
            </w:tcBorders>
            <w:noWrap/>
            <w:vAlign w:val="center"/>
          </w:tcPr>
          <w:p w14:paraId="619B0686">
            <w:pPr>
              <w:widowControl/>
              <w:spacing w:line="440" w:lineRule="exact"/>
              <w:textAlignment w:val="center"/>
              <w:rPr>
                <w:rFonts w:ascii="宋体" w:hAnsi="宋体" w:cs="宋体"/>
                <w:color w:val="auto"/>
                <w:szCs w:val="21"/>
                <w:highlight w:val="none"/>
              </w:rPr>
            </w:pPr>
          </w:p>
        </w:tc>
        <w:tc>
          <w:tcPr>
            <w:tcW w:w="2235" w:type="dxa"/>
            <w:tcBorders>
              <w:top w:val="nil"/>
              <w:left w:val="nil"/>
              <w:bottom w:val="single" w:color="000000" w:sz="8" w:space="0"/>
              <w:right w:val="single" w:color="000000" w:sz="8" w:space="0"/>
            </w:tcBorders>
            <w:noWrap/>
            <w:vAlign w:val="center"/>
          </w:tcPr>
          <w:p w14:paraId="50AA0BB7">
            <w:pPr>
              <w:spacing w:line="440" w:lineRule="exact"/>
              <w:rPr>
                <w:rFonts w:ascii="宋体" w:hAnsi="宋体" w:cs="宋体"/>
                <w:color w:val="auto"/>
                <w:szCs w:val="21"/>
                <w:highlight w:val="none"/>
              </w:rPr>
            </w:pPr>
          </w:p>
        </w:tc>
      </w:tr>
      <w:tr w14:paraId="381F951E">
        <w:tblPrEx>
          <w:tblCellMar>
            <w:top w:w="0" w:type="dxa"/>
            <w:left w:w="108" w:type="dxa"/>
            <w:bottom w:w="0" w:type="dxa"/>
            <w:right w:w="108" w:type="dxa"/>
          </w:tblCellMar>
        </w:tblPrEx>
        <w:trPr>
          <w:trHeight w:val="386" w:hRule="exact"/>
          <w:jc w:val="center"/>
        </w:trPr>
        <w:tc>
          <w:tcPr>
            <w:tcW w:w="695" w:type="dxa"/>
            <w:tcBorders>
              <w:top w:val="single" w:color="000000" w:sz="8" w:space="0"/>
              <w:left w:val="single" w:color="000000" w:sz="8" w:space="0"/>
              <w:bottom w:val="single" w:color="000000" w:sz="8" w:space="0"/>
              <w:right w:val="single" w:color="000000" w:sz="8" w:space="0"/>
            </w:tcBorders>
            <w:noWrap/>
            <w:vAlign w:val="center"/>
          </w:tcPr>
          <w:p w14:paraId="02A3F460">
            <w:pPr>
              <w:widowControl/>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4</w:t>
            </w:r>
          </w:p>
        </w:tc>
        <w:tc>
          <w:tcPr>
            <w:tcW w:w="1140" w:type="dxa"/>
            <w:tcBorders>
              <w:top w:val="nil"/>
              <w:left w:val="single" w:color="000000" w:sz="8" w:space="0"/>
              <w:bottom w:val="single" w:color="000000" w:sz="8" w:space="0"/>
              <w:right w:val="single" w:color="000000" w:sz="8" w:space="0"/>
            </w:tcBorders>
            <w:noWrap/>
            <w:vAlign w:val="center"/>
          </w:tcPr>
          <w:p w14:paraId="7C950E24">
            <w:pPr>
              <w:widowControl/>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工具</w:t>
            </w:r>
          </w:p>
        </w:tc>
        <w:tc>
          <w:tcPr>
            <w:tcW w:w="2940" w:type="dxa"/>
            <w:tcBorders>
              <w:top w:val="nil"/>
              <w:left w:val="nil"/>
              <w:bottom w:val="single" w:color="000000" w:sz="8" w:space="0"/>
              <w:right w:val="single" w:color="000000" w:sz="8" w:space="0"/>
            </w:tcBorders>
            <w:noWrap/>
            <w:vAlign w:val="center"/>
          </w:tcPr>
          <w:p w14:paraId="283042EC">
            <w:pPr>
              <w:widowControl/>
              <w:spacing w:line="440" w:lineRule="exact"/>
              <w:jc w:val="left"/>
              <w:textAlignment w:val="center"/>
              <w:rPr>
                <w:rFonts w:ascii="宋体" w:hAnsi="宋体" w:cs="宋体"/>
                <w:color w:val="auto"/>
                <w:szCs w:val="21"/>
                <w:highlight w:val="none"/>
                <w:u w:val="single"/>
              </w:rPr>
            </w:pPr>
          </w:p>
        </w:tc>
        <w:tc>
          <w:tcPr>
            <w:tcW w:w="2160" w:type="dxa"/>
            <w:tcBorders>
              <w:top w:val="nil"/>
              <w:left w:val="nil"/>
              <w:bottom w:val="single" w:color="000000" w:sz="8" w:space="0"/>
              <w:right w:val="single" w:color="000000" w:sz="8" w:space="0"/>
            </w:tcBorders>
            <w:noWrap/>
            <w:vAlign w:val="center"/>
          </w:tcPr>
          <w:p w14:paraId="72641F10">
            <w:pPr>
              <w:widowControl/>
              <w:spacing w:line="440" w:lineRule="exact"/>
              <w:textAlignment w:val="center"/>
              <w:rPr>
                <w:rFonts w:ascii="宋体" w:hAnsi="宋体" w:cs="宋体"/>
                <w:color w:val="auto"/>
                <w:szCs w:val="21"/>
                <w:highlight w:val="none"/>
              </w:rPr>
            </w:pPr>
          </w:p>
        </w:tc>
        <w:tc>
          <w:tcPr>
            <w:tcW w:w="2235" w:type="dxa"/>
            <w:tcBorders>
              <w:top w:val="nil"/>
              <w:left w:val="nil"/>
              <w:bottom w:val="single" w:color="000000" w:sz="8" w:space="0"/>
              <w:right w:val="single" w:color="000000" w:sz="8" w:space="0"/>
            </w:tcBorders>
            <w:noWrap/>
            <w:vAlign w:val="center"/>
          </w:tcPr>
          <w:p w14:paraId="461A5495">
            <w:pPr>
              <w:spacing w:line="440" w:lineRule="exact"/>
              <w:rPr>
                <w:rFonts w:ascii="宋体" w:hAnsi="宋体" w:cs="宋体"/>
                <w:color w:val="auto"/>
                <w:szCs w:val="21"/>
                <w:highlight w:val="none"/>
              </w:rPr>
            </w:pPr>
          </w:p>
        </w:tc>
      </w:tr>
      <w:tr w14:paraId="39B6DB7B">
        <w:tblPrEx>
          <w:tblCellMar>
            <w:top w:w="0" w:type="dxa"/>
            <w:left w:w="108" w:type="dxa"/>
            <w:bottom w:w="0" w:type="dxa"/>
            <w:right w:w="108" w:type="dxa"/>
          </w:tblCellMar>
        </w:tblPrEx>
        <w:trPr>
          <w:trHeight w:val="386" w:hRule="exact"/>
          <w:jc w:val="center"/>
        </w:trPr>
        <w:tc>
          <w:tcPr>
            <w:tcW w:w="695" w:type="dxa"/>
            <w:tcBorders>
              <w:top w:val="single" w:color="000000" w:sz="8" w:space="0"/>
              <w:left w:val="single" w:color="000000" w:sz="8" w:space="0"/>
              <w:bottom w:val="single" w:color="000000" w:sz="8" w:space="0"/>
              <w:right w:val="single" w:color="000000" w:sz="8" w:space="0"/>
            </w:tcBorders>
            <w:noWrap/>
            <w:vAlign w:val="center"/>
          </w:tcPr>
          <w:p w14:paraId="196CA221">
            <w:pPr>
              <w:widowControl/>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5</w:t>
            </w:r>
          </w:p>
        </w:tc>
        <w:tc>
          <w:tcPr>
            <w:tcW w:w="1140" w:type="dxa"/>
            <w:tcBorders>
              <w:top w:val="nil"/>
              <w:left w:val="single" w:color="000000" w:sz="8" w:space="0"/>
              <w:bottom w:val="single" w:color="000000" w:sz="8" w:space="0"/>
              <w:right w:val="single" w:color="000000" w:sz="8" w:space="0"/>
            </w:tcBorders>
            <w:noWrap/>
            <w:vAlign w:val="center"/>
          </w:tcPr>
          <w:p w14:paraId="181BA74B">
            <w:pPr>
              <w:widowControl/>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其他</w:t>
            </w:r>
          </w:p>
        </w:tc>
        <w:tc>
          <w:tcPr>
            <w:tcW w:w="2940" w:type="dxa"/>
            <w:tcBorders>
              <w:top w:val="nil"/>
              <w:left w:val="nil"/>
              <w:bottom w:val="single" w:color="000000" w:sz="8" w:space="0"/>
              <w:right w:val="single" w:color="000000" w:sz="8" w:space="0"/>
            </w:tcBorders>
            <w:noWrap/>
            <w:vAlign w:val="center"/>
          </w:tcPr>
          <w:p w14:paraId="43DFF9F8">
            <w:pPr>
              <w:widowControl/>
              <w:spacing w:line="440" w:lineRule="exact"/>
              <w:jc w:val="left"/>
              <w:textAlignment w:val="center"/>
              <w:rPr>
                <w:rFonts w:ascii="宋体" w:hAnsi="宋体" w:cs="宋体"/>
                <w:color w:val="auto"/>
                <w:szCs w:val="21"/>
                <w:highlight w:val="none"/>
                <w:u w:val="single"/>
              </w:rPr>
            </w:pPr>
          </w:p>
        </w:tc>
        <w:tc>
          <w:tcPr>
            <w:tcW w:w="2160" w:type="dxa"/>
            <w:tcBorders>
              <w:top w:val="nil"/>
              <w:left w:val="nil"/>
              <w:bottom w:val="single" w:color="000000" w:sz="8" w:space="0"/>
              <w:right w:val="single" w:color="000000" w:sz="8" w:space="0"/>
            </w:tcBorders>
            <w:noWrap/>
            <w:vAlign w:val="center"/>
          </w:tcPr>
          <w:p w14:paraId="2A40652F">
            <w:pPr>
              <w:widowControl/>
              <w:spacing w:line="440" w:lineRule="exact"/>
              <w:textAlignment w:val="center"/>
              <w:rPr>
                <w:rFonts w:ascii="宋体" w:hAnsi="宋体" w:cs="宋体"/>
                <w:color w:val="auto"/>
                <w:szCs w:val="21"/>
                <w:highlight w:val="none"/>
              </w:rPr>
            </w:pPr>
          </w:p>
        </w:tc>
        <w:tc>
          <w:tcPr>
            <w:tcW w:w="2235" w:type="dxa"/>
            <w:tcBorders>
              <w:top w:val="nil"/>
              <w:left w:val="nil"/>
              <w:bottom w:val="single" w:color="000000" w:sz="8" w:space="0"/>
              <w:right w:val="single" w:color="000000" w:sz="8" w:space="0"/>
            </w:tcBorders>
            <w:noWrap/>
            <w:vAlign w:val="center"/>
          </w:tcPr>
          <w:p w14:paraId="6F26C833">
            <w:pPr>
              <w:spacing w:line="440" w:lineRule="exact"/>
              <w:rPr>
                <w:rFonts w:ascii="宋体" w:hAnsi="宋体" w:cs="宋体"/>
                <w:color w:val="auto"/>
                <w:szCs w:val="21"/>
                <w:highlight w:val="none"/>
              </w:rPr>
            </w:pPr>
          </w:p>
        </w:tc>
      </w:tr>
      <w:tr w14:paraId="6D1DC671">
        <w:tblPrEx>
          <w:tblCellMar>
            <w:top w:w="0" w:type="dxa"/>
            <w:left w:w="108" w:type="dxa"/>
            <w:bottom w:w="0" w:type="dxa"/>
            <w:right w:w="108" w:type="dxa"/>
          </w:tblCellMar>
        </w:tblPrEx>
        <w:trPr>
          <w:trHeight w:val="386" w:hRule="exact"/>
          <w:jc w:val="center"/>
        </w:trPr>
        <w:tc>
          <w:tcPr>
            <w:tcW w:w="695" w:type="dxa"/>
            <w:tcBorders>
              <w:top w:val="single" w:color="000000" w:sz="8" w:space="0"/>
              <w:left w:val="single" w:color="000000" w:sz="8" w:space="0"/>
              <w:bottom w:val="single" w:color="000000" w:sz="8" w:space="0"/>
              <w:right w:val="single" w:color="000000" w:sz="8" w:space="0"/>
            </w:tcBorders>
            <w:noWrap/>
            <w:vAlign w:val="center"/>
          </w:tcPr>
          <w:p w14:paraId="63C23626">
            <w:pPr>
              <w:widowControl/>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6</w:t>
            </w:r>
          </w:p>
        </w:tc>
        <w:tc>
          <w:tcPr>
            <w:tcW w:w="1140" w:type="dxa"/>
            <w:tcBorders>
              <w:top w:val="nil"/>
              <w:left w:val="single" w:color="000000" w:sz="8" w:space="0"/>
              <w:bottom w:val="single" w:color="000000" w:sz="8" w:space="0"/>
              <w:right w:val="single" w:color="000000" w:sz="8" w:space="0"/>
            </w:tcBorders>
            <w:noWrap/>
            <w:vAlign w:val="center"/>
          </w:tcPr>
          <w:p w14:paraId="28657909">
            <w:pPr>
              <w:widowControl/>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合理利润</w:t>
            </w:r>
          </w:p>
        </w:tc>
        <w:tc>
          <w:tcPr>
            <w:tcW w:w="2940" w:type="dxa"/>
            <w:tcBorders>
              <w:top w:val="nil"/>
              <w:left w:val="nil"/>
              <w:bottom w:val="single" w:color="000000" w:sz="8" w:space="0"/>
              <w:right w:val="single" w:color="000000" w:sz="8" w:space="0"/>
            </w:tcBorders>
            <w:noWrap/>
            <w:vAlign w:val="center"/>
          </w:tcPr>
          <w:p w14:paraId="0213719F">
            <w:pPr>
              <w:widowControl/>
              <w:spacing w:line="440" w:lineRule="exact"/>
              <w:jc w:val="left"/>
              <w:textAlignment w:val="center"/>
              <w:rPr>
                <w:rFonts w:ascii="宋体" w:hAnsi="宋体" w:cs="宋体"/>
                <w:color w:val="auto"/>
                <w:szCs w:val="21"/>
                <w:highlight w:val="none"/>
                <w:u w:val="single"/>
              </w:rPr>
            </w:pPr>
            <w:r>
              <w:rPr>
                <w:rFonts w:hint="eastAsia" w:ascii="宋体" w:hAnsi="宋体" w:cs="宋体"/>
                <w:color w:val="auto"/>
                <w:szCs w:val="21"/>
                <w:highlight w:val="none"/>
              </w:rPr>
              <w:t>（1+·····5）</w:t>
            </w:r>
            <w:r>
              <w:rPr>
                <w:rFonts w:hint="eastAsia" w:ascii="宋体" w:hAnsi="宋体" w:cs="宋体"/>
                <w:color w:val="auto"/>
                <w:kern w:val="0"/>
                <w:szCs w:val="21"/>
                <w:highlight w:val="none"/>
              </w:rPr>
              <w:t>×%</w:t>
            </w:r>
          </w:p>
        </w:tc>
        <w:tc>
          <w:tcPr>
            <w:tcW w:w="2160" w:type="dxa"/>
            <w:tcBorders>
              <w:top w:val="nil"/>
              <w:left w:val="nil"/>
              <w:bottom w:val="single" w:color="000000" w:sz="8" w:space="0"/>
              <w:right w:val="single" w:color="000000" w:sz="8" w:space="0"/>
            </w:tcBorders>
            <w:noWrap/>
            <w:vAlign w:val="center"/>
          </w:tcPr>
          <w:p w14:paraId="01362F26">
            <w:pPr>
              <w:widowControl/>
              <w:spacing w:line="440" w:lineRule="exact"/>
              <w:textAlignment w:val="center"/>
              <w:rPr>
                <w:rFonts w:ascii="宋体" w:hAnsi="宋体" w:cs="宋体"/>
                <w:color w:val="auto"/>
                <w:szCs w:val="21"/>
                <w:highlight w:val="none"/>
              </w:rPr>
            </w:pPr>
          </w:p>
        </w:tc>
        <w:tc>
          <w:tcPr>
            <w:tcW w:w="2235" w:type="dxa"/>
            <w:tcBorders>
              <w:top w:val="nil"/>
              <w:left w:val="nil"/>
              <w:bottom w:val="single" w:color="000000" w:sz="8" w:space="0"/>
              <w:right w:val="single" w:color="000000" w:sz="8" w:space="0"/>
            </w:tcBorders>
            <w:noWrap/>
            <w:vAlign w:val="center"/>
          </w:tcPr>
          <w:p w14:paraId="11D97160">
            <w:pPr>
              <w:spacing w:line="440" w:lineRule="exact"/>
              <w:rPr>
                <w:rFonts w:ascii="宋体" w:hAnsi="宋体" w:cs="宋体"/>
                <w:color w:val="auto"/>
                <w:szCs w:val="21"/>
                <w:highlight w:val="none"/>
              </w:rPr>
            </w:pPr>
          </w:p>
        </w:tc>
      </w:tr>
      <w:tr w14:paraId="0D022387">
        <w:tblPrEx>
          <w:tblCellMar>
            <w:top w:w="0" w:type="dxa"/>
            <w:left w:w="108" w:type="dxa"/>
            <w:bottom w:w="0" w:type="dxa"/>
            <w:right w:w="108" w:type="dxa"/>
          </w:tblCellMar>
        </w:tblPrEx>
        <w:trPr>
          <w:trHeight w:val="386" w:hRule="exact"/>
          <w:jc w:val="center"/>
        </w:trPr>
        <w:tc>
          <w:tcPr>
            <w:tcW w:w="695" w:type="dxa"/>
            <w:tcBorders>
              <w:top w:val="single" w:color="000000" w:sz="8" w:space="0"/>
              <w:left w:val="single" w:color="000000" w:sz="8" w:space="0"/>
              <w:bottom w:val="single" w:color="000000" w:sz="8" w:space="0"/>
              <w:right w:val="single" w:color="000000" w:sz="8" w:space="0"/>
            </w:tcBorders>
            <w:noWrap/>
            <w:vAlign w:val="center"/>
          </w:tcPr>
          <w:p w14:paraId="3BAD8F15">
            <w:pPr>
              <w:spacing w:line="440" w:lineRule="exact"/>
              <w:rPr>
                <w:rFonts w:ascii="宋体" w:hAnsi="宋体" w:cs="宋体"/>
                <w:color w:val="auto"/>
                <w:szCs w:val="21"/>
                <w:highlight w:val="none"/>
              </w:rPr>
            </w:pPr>
            <w:r>
              <w:rPr>
                <w:rFonts w:hint="eastAsia" w:ascii="宋体" w:hAnsi="宋体" w:cs="宋体"/>
                <w:color w:val="auto"/>
                <w:szCs w:val="21"/>
                <w:highlight w:val="none"/>
              </w:rPr>
              <w:t>7</w:t>
            </w:r>
          </w:p>
        </w:tc>
        <w:tc>
          <w:tcPr>
            <w:tcW w:w="1140" w:type="dxa"/>
            <w:tcBorders>
              <w:top w:val="single" w:color="000000" w:sz="8" w:space="0"/>
              <w:left w:val="single" w:color="000000" w:sz="8" w:space="0"/>
              <w:bottom w:val="single" w:color="000000" w:sz="8" w:space="0"/>
              <w:right w:val="single" w:color="000000" w:sz="8" w:space="0"/>
            </w:tcBorders>
            <w:noWrap/>
            <w:vAlign w:val="center"/>
          </w:tcPr>
          <w:p w14:paraId="5B76A2E2">
            <w:pPr>
              <w:widowControl/>
              <w:spacing w:line="440" w:lineRule="exact"/>
              <w:textAlignment w:val="center"/>
              <w:rPr>
                <w:rFonts w:ascii="宋体" w:hAnsi="宋体" w:cs="宋体"/>
                <w:color w:val="auto"/>
                <w:szCs w:val="21"/>
                <w:highlight w:val="none"/>
              </w:rPr>
            </w:pPr>
            <w:r>
              <w:rPr>
                <w:rFonts w:hint="eastAsia" w:ascii="宋体" w:hAnsi="宋体" w:cs="宋体"/>
                <w:color w:val="auto"/>
                <w:szCs w:val="21"/>
                <w:highlight w:val="none"/>
              </w:rPr>
              <w:t>税费</w:t>
            </w:r>
          </w:p>
        </w:tc>
        <w:tc>
          <w:tcPr>
            <w:tcW w:w="2940" w:type="dxa"/>
            <w:tcBorders>
              <w:top w:val="single" w:color="000000" w:sz="8" w:space="0"/>
              <w:left w:val="single" w:color="000000" w:sz="8" w:space="0"/>
              <w:bottom w:val="single" w:color="000000" w:sz="8" w:space="0"/>
              <w:right w:val="single" w:color="000000" w:sz="8" w:space="0"/>
            </w:tcBorders>
            <w:noWrap/>
            <w:vAlign w:val="center"/>
          </w:tcPr>
          <w:p w14:paraId="7153A5FE">
            <w:pPr>
              <w:widowControl/>
              <w:spacing w:line="440" w:lineRule="exact"/>
              <w:jc w:val="left"/>
              <w:textAlignment w:val="center"/>
              <w:rPr>
                <w:rFonts w:ascii="宋体" w:hAnsi="宋体" w:cs="宋体"/>
                <w:color w:val="auto"/>
                <w:szCs w:val="21"/>
                <w:highlight w:val="none"/>
                <w:u w:val="single"/>
              </w:rPr>
            </w:pPr>
            <w:r>
              <w:rPr>
                <w:rFonts w:hint="eastAsia" w:ascii="宋体" w:hAnsi="宋体" w:cs="宋体"/>
                <w:color w:val="auto"/>
                <w:szCs w:val="21"/>
                <w:highlight w:val="none"/>
              </w:rPr>
              <w:t>（1+·····6）</w:t>
            </w:r>
            <w:r>
              <w:rPr>
                <w:rFonts w:hint="eastAsia" w:ascii="宋体" w:hAnsi="宋体" w:cs="宋体"/>
                <w:color w:val="auto"/>
                <w:kern w:val="0"/>
                <w:szCs w:val="21"/>
                <w:highlight w:val="none"/>
              </w:rPr>
              <w:t>×%</w:t>
            </w:r>
          </w:p>
        </w:tc>
        <w:tc>
          <w:tcPr>
            <w:tcW w:w="2160" w:type="dxa"/>
            <w:tcBorders>
              <w:top w:val="single" w:color="000000" w:sz="8" w:space="0"/>
              <w:left w:val="single" w:color="000000" w:sz="8" w:space="0"/>
              <w:bottom w:val="single" w:color="000000" w:sz="8" w:space="0"/>
              <w:right w:val="single" w:color="000000" w:sz="8" w:space="0"/>
            </w:tcBorders>
            <w:noWrap/>
            <w:vAlign w:val="center"/>
          </w:tcPr>
          <w:p w14:paraId="716185AD">
            <w:pPr>
              <w:widowControl/>
              <w:spacing w:line="440" w:lineRule="exact"/>
              <w:textAlignment w:val="center"/>
              <w:rPr>
                <w:rFonts w:ascii="宋体" w:hAnsi="宋体" w:cs="宋体"/>
                <w:color w:val="auto"/>
                <w:szCs w:val="21"/>
                <w:highlight w:val="none"/>
              </w:rPr>
            </w:pPr>
          </w:p>
        </w:tc>
        <w:tc>
          <w:tcPr>
            <w:tcW w:w="2235" w:type="dxa"/>
            <w:tcBorders>
              <w:top w:val="single" w:color="000000" w:sz="8" w:space="0"/>
              <w:left w:val="single" w:color="000000" w:sz="8" w:space="0"/>
              <w:bottom w:val="single" w:color="000000" w:sz="8" w:space="0"/>
              <w:right w:val="single" w:color="000000" w:sz="8" w:space="0"/>
            </w:tcBorders>
            <w:noWrap/>
            <w:vAlign w:val="center"/>
          </w:tcPr>
          <w:p w14:paraId="718B11C8">
            <w:pPr>
              <w:spacing w:line="440" w:lineRule="exact"/>
              <w:rPr>
                <w:rFonts w:ascii="宋体" w:hAnsi="宋体" w:cs="宋体"/>
                <w:color w:val="auto"/>
                <w:szCs w:val="21"/>
                <w:highlight w:val="none"/>
              </w:rPr>
            </w:pPr>
          </w:p>
        </w:tc>
      </w:tr>
      <w:tr w14:paraId="76973810">
        <w:tblPrEx>
          <w:tblCellMar>
            <w:top w:w="0" w:type="dxa"/>
            <w:left w:w="108" w:type="dxa"/>
            <w:bottom w:w="0" w:type="dxa"/>
            <w:right w:w="108" w:type="dxa"/>
          </w:tblCellMar>
        </w:tblPrEx>
        <w:trPr>
          <w:trHeight w:val="386" w:hRule="exact"/>
          <w:jc w:val="center"/>
        </w:trPr>
        <w:tc>
          <w:tcPr>
            <w:tcW w:w="695" w:type="dxa"/>
            <w:tcBorders>
              <w:top w:val="single" w:color="000000" w:sz="8" w:space="0"/>
              <w:left w:val="single" w:color="000000" w:sz="8" w:space="0"/>
              <w:bottom w:val="single" w:color="000000" w:sz="8" w:space="0"/>
              <w:right w:val="single" w:color="000000" w:sz="8" w:space="0"/>
            </w:tcBorders>
            <w:noWrap/>
            <w:vAlign w:val="center"/>
          </w:tcPr>
          <w:p w14:paraId="773F4EBF">
            <w:pPr>
              <w:spacing w:line="440" w:lineRule="exact"/>
              <w:rPr>
                <w:rFonts w:ascii="宋体" w:hAnsi="宋体" w:cs="宋体"/>
                <w:color w:val="auto"/>
                <w:szCs w:val="21"/>
                <w:highlight w:val="none"/>
              </w:rPr>
            </w:pPr>
          </w:p>
        </w:tc>
        <w:tc>
          <w:tcPr>
            <w:tcW w:w="1140" w:type="dxa"/>
            <w:tcBorders>
              <w:top w:val="single" w:color="000000" w:sz="8" w:space="0"/>
              <w:left w:val="single" w:color="000000" w:sz="8" w:space="0"/>
              <w:bottom w:val="single" w:color="000000" w:sz="8" w:space="0"/>
              <w:right w:val="single" w:color="000000" w:sz="8" w:space="0"/>
            </w:tcBorders>
            <w:noWrap/>
            <w:vAlign w:val="center"/>
          </w:tcPr>
          <w:p w14:paraId="10482694">
            <w:pPr>
              <w:widowControl/>
              <w:spacing w:line="440" w:lineRule="exact"/>
              <w:textAlignment w:val="center"/>
              <w:rPr>
                <w:rFonts w:ascii="宋体" w:hAnsi="宋体" w:cs="宋体"/>
                <w:b/>
                <w:bCs/>
                <w:color w:val="auto"/>
                <w:szCs w:val="21"/>
                <w:highlight w:val="none"/>
              </w:rPr>
            </w:pPr>
            <w:r>
              <w:rPr>
                <w:rFonts w:hint="eastAsia" w:ascii="宋体" w:hAnsi="宋体" w:cs="宋体"/>
                <w:b/>
                <w:bCs/>
                <w:color w:val="auto"/>
                <w:szCs w:val="21"/>
                <w:highlight w:val="none"/>
              </w:rPr>
              <w:t>合计</w:t>
            </w:r>
          </w:p>
        </w:tc>
        <w:tc>
          <w:tcPr>
            <w:tcW w:w="2940" w:type="dxa"/>
            <w:tcBorders>
              <w:top w:val="single" w:color="000000" w:sz="8" w:space="0"/>
              <w:left w:val="single" w:color="000000" w:sz="8" w:space="0"/>
              <w:bottom w:val="single" w:color="000000" w:sz="8" w:space="0"/>
              <w:right w:val="single" w:color="000000" w:sz="8" w:space="0"/>
            </w:tcBorders>
            <w:noWrap/>
            <w:vAlign w:val="center"/>
          </w:tcPr>
          <w:p w14:paraId="1CCDC0EB">
            <w:pPr>
              <w:widowControl/>
              <w:spacing w:line="440" w:lineRule="exact"/>
              <w:jc w:val="left"/>
              <w:textAlignment w:val="center"/>
              <w:rPr>
                <w:rFonts w:ascii="宋体" w:hAnsi="宋体" w:cs="宋体"/>
                <w:b/>
                <w:bCs/>
                <w:color w:val="auto"/>
                <w:szCs w:val="21"/>
                <w:highlight w:val="none"/>
              </w:rPr>
            </w:pPr>
          </w:p>
        </w:tc>
        <w:tc>
          <w:tcPr>
            <w:tcW w:w="2160" w:type="dxa"/>
            <w:tcBorders>
              <w:top w:val="single" w:color="000000" w:sz="8" w:space="0"/>
              <w:left w:val="single" w:color="000000" w:sz="8" w:space="0"/>
              <w:bottom w:val="single" w:color="000000" w:sz="8" w:space="0"/>
              <w:right w:val="single" w:color="000000" w:sz="8" w:space="0"/>
            </w:tcBorders>
            <w:noWrap/>
            <w:vAlign w:val="center"/>
          </w:tcPr>
          <w:p w14:paraId="1D3644E4">
            <w:pPr>
              <w:widowControl/>
              <w:spacing w:line="440" w:lineRule="exact"/>
              <w:textAlignment w:val="center"/>
              <w:rPr>
                <w:rFonts w:ascii="宋体" w:hAnsi="宋体" w:cs="宋体"/>
                <w:b/>
                <w:bCs/>
                <w:color w:val="auto"/>
                <w:szCs w:val="21"/>
                <w:highlight w:val="none"/>
              </w:rPr>
            </w:pPr>
          </w:p>
        </w:tc>
        <w:tc>
          <w:tcPr>
            <w:tcW w:w="2235" w:type="dxa"/>
            <w:tcBorders>
              <w:top w:val="single" w:color="000000" w:sz="8" w:space="0"/>
              <w:left w:val="single" w:color="000000" w:sz="8" w:space="0"/>
              <w:bottom w:val="single" w:color="000000" w:sz="8" w:space="0"/>
              <w:right w:val="single" w:color="000000" w:sz="8" w:space="0"/>
            </w:tcBorders>
            <w:noWrap/>
            <w:vAlign w:val="center"/>
          </w:tcPr>
          <w:p w14:paraId="064B2EF0">
            <w:pPr>
              <w:spacing w:line="440" w:lineRule="exact"/>
              <w:rPr>
                <w:rFonts w:ascii="宋体" w:hAnsi="宋体" w:cs="宋体"/>
                <w:color w:val="auto"/>
                <w:szCs w:val="21"/>
                <w:highlight w:val="none"/>
              </w:rPr>
            </w:pPr>
          </w:p>
        </w:tc>
      </w:tr>
    </w:tbl>
    <w:p w14:paraId="4B03B5ED">
      <w:pPr>
        <w:pStyle w:val="13"/>
        <w:spacing w:line="440" w:lineRule="exact"/>
        <w:rPr>
          <w:rFonts w:hAnsi="宋体" w:cs="宋体"/>
          <w:b/>
          <w:bCs/>
          <w:color w:val="auto"/>
          <w:sz w:val="24"/>
          <w:szCs w:val="24"/>
          <w:highlight w:val="none"/>
        </w:rPr>
      </w:pPr>
    </w:p>
    <w:p w14:paraId="6A74A818">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说明：1、承接查验费不全的，可在其他项目中自行展开添加，表格所列内容均需填报，如漏报，则视为让利，物业管理过程中如实际需要</w:t>
      </w:r>
      <w:r>
        <w:rPr>
          <w:rFonts w:hint="eastAsia" w:hAnsi="宋体" w:cs="宋体"/>
          <w:b/>
          <w:bCs/>
          <w:color w:val="auto"/>
          <w:sz w:val="24"/>
          <w:szCs w:val="24"/>
          <w:highlight w:val="none"/>
          <w:lang w:val="en-US" w:eastAsia="zh-CN"/>
        </w:rPr>
        <w:t>招标</w:t>
      </w:r>
      <w:r>
        <w:rPr>
          <w:rFonts w:hint="eastAsia" w:hAnsi="宋体" w:cs="宋体"/>
          <w:b/>
          <w:bCs/>
          <w:color w:val="auto"/>
          <w:sz w:val="24"/>
          <w:szCs w:val="24"/>
          <w:highlight w:val="none"/>
        </w:rPr>
        <w:t>，则甲方不再另外支付费用。</w:t>
      </w:r>
    </w:p>
    <w:p w14:paraId="5FA2C15F">
      <w:pPr>
        <w:pStyle w:val="13"/>
        <w:spacing w:line="440" w:lineRule="exact"/>
        <w:rPr>
          <w:rFonts w:hAnsi="宋体" w:cs="宋体"/>
          <w:b/>
          <w:bCs/>
          <w:color w:val="auto"/>
          <w:sz w:val="24"/>
          <w:szCs w:val="24"/>
          <w:highlight w:val="none"/>
        </w:rPr>
      </w:pPr>
    </w:p>
    <w:p w14:paraId="75405603">
      <w:pPr>
        <w:spacing w:line="440" w:lineRule="exact"/>
        <w:rPr>
          <w:rFonts w:ascii="宋体" w:hAnsi="宋体" w:cs="宋体"/>
          <w:b/>
          <w:bCs/>
          <w:color w:val="auto"/>
          <w:highlight w:val="none"/>
        </w:rPr>
      </w:pPr>
    </w:p>
    <w:p w14:paraId="1503B7C1">
      <w:pPr>
        <w:spacing w:line="440" w:lineRule="exact"/>
        <w:rPr>
          <w:rFonts w:ascii="宋体" w:hAnsi="宋体" w:cs="宋体"/>
          <w:b/>
          <w:bCs/>
          <w:color w:val="auto"/>
          <w:highlight w:val="none"/>
        </w:rPr>
      </w:pPr>
    </w:p>
    <w:p w14:paraId="419DFE57">
      <w:pPr>
        <w:spacing w:line="440" w:lineRule="exact"/>
        <w:rPr>
          <w:rFonts w:ascii="宋体" w:hAnsi="宋体" w:cs="宋体"/>
          <w:b/>
          <w:bCs/>
          <w:color w:val="auto"/>
          <w:highlight w:val="none"/>
        </w:rPr>
      </w:pPr>
    </w:p>
    <w:p w14:paraId="0178D8B9">
      <w:pPr>
        <w:spacing w:line="440" w:lineRule="exact"/>
        <w:rPr>
          <w:rFonts w:ascii="宋体" w:hAnsi="宋体" w:cs="宋体"/>
          <w:b/>
          <w:bCs/>
          <w:color w:val="auto"/>
          <w:highlight w:val="none"/>
        </w:rPr>
      </w:pPr>
      <w:r>
        <w:rPr>
          <w:rFonts w:hint="eastAsia" w:ascii="宋体" w:hAnsi="宋体" w:cs="宋体"/>
          <w:b/>
          <w:bCs/>
          <w:color w:val="auto"/>
          <w:highlight w:val="none"/>
        </w:rPr>
        <w:br w:type="page"/>
      </w:r>
    </w:p>
    <w:p w14:paraId="32EBDDBE">
      <w:pPr>
        <w:spacing w:line="440" w:lineRule="exact"/>
        <w:rPr>
          <w:rFonts w:ascii="宋体" w:hAnsi="宋体" w:cs="宋体"/>
          <w:b/>
          <w:bCs/>
          <w:color w:val="auto"/>
          <w:highlight w:val="none"/>
        </w:rPr>
      </w:pPr>
      <w:r>
        <w:rPr>
          <w:rFonts w:hint="eastAsia" w:ascii="宋体" w:hAnsi="宋体" w:cs="宋体"/>
          <w:b/>
          <w:bCs/>
          <w:color w:val="auto"/>
          <w:highlight w:val="none"/>
        </w:rPr>
        <w:t>附件3：安保耗材费明细</w:t>
      </w:r>
    </w:p>
    <w:tbl>
      <w:tblPr>
        <w:tblStyle w:val="22"/>
        <w:tblW w:w="8670" w:type="dxa"/>
        <w:jc w:val="center"/>
        <w:tblLayout w:type="fixed"/>
        <w:tblCellMar>
          <w:top w:w="0" w:type="dxa"/>
          <w:left w:w="108" w:type="dxa"/>
          <w:bottom w:w="0" w:type="dxa"/>
          <w:right w:w="108" w:type="dxa"/>
        </w:tblCellMar>
      </w:tblPr>
      <w:tblGrid>
        <w:gridCol w:w="900"/>
        <w:gridCol w:w="1980"/>
        <w:gridCol w:w="660"/>
        <w:gridCol w:w="645"/>
        <w:gridCol w:w="1125"/>
        <w:gridCol w:w="1215"/>
        <w:gridCol w:w="990"/>
        <w:gridCol w:w="1155"/>
      </w:tblGrid>
      <w:tr w14:paraId="703E5601">
        <w:tblPrEx>
          <w:tblCellMar>
            <w:top w:w="0" w:type="dxa"/>
            <w:left w:w="108" w:type="dxa"/>
            <w:bottom w:w="0" w:type="dxa"/>
            <w:right w:w="108" w:type="dxa"/>
          </w:tblCellMar>
        </w:tblPrEx>
        <w:trPr>
          <w:trHeight w:val="765" w:hRule="atLeast"/>
          <w:jc w:val="center"/>
        </w:trPr>
        <w:tc>
          <w:tcPr>
            <w:tcW w:w="900" w:type="dxa"/>
            <w:tcBorders>
              <w:top w:val="single" w:color="000000" w:sz="8" w:space="0"/>
              <w:left w:val="single" w:color="000000" w:sz="8" w:space="0"/>
              <w:bottom w:val="single" w:color="000000" w:sz="8" w:space="0"/>
              <w:right w:val="single" w:color="000000" w:sz="8" w:space="0"/>
            </w:tcBorders>
            <w:noWrap/>
            <w:vAlign w:val="center"/>
          </w:tcPr>
          <w:p w14:paraId="43A25D0A">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序号</w:t>
            </w:r>
          </w:p>
        </w:tc>
        <w:tc>
          <w:tcPr>
            <w:tcW w:w="1980" w:type="dxa"/>
            <w:tcBorders>
              <w:top w:val="single" w:color="000000" w:sz="8" w:space="0"/>
              <w:left w:val="nil"/>
              <w:bottom w:val="single" w:color="000000" w:sz="8" w:space="0"/>
              <w:right w:val="single" w:color="000000" w:sz="8" w:space="0"/>
            </w:tcBorders>
            <w:noWrap/>
            <w:vAlign w:val="center"/>
          </w:tcPr>
          <w:p w14:paraId="529067AD">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工具名称</w:t>
            </w:r>
          </w:p>
        </w:tc>
        <w:tc>
          <w:tcPr>
            <w:tcW w:w="660" w:type="dxa"/>
            <w:tcBorders>
              <w:top w:val="single" w:color="000000" w:sz="8" w:space="0"/>
              <w:left w:val="nil"/>
              <w:bottom w:val="single" w:color="000000" w:sz="8" w:space="0"/>
              <w:right w:val="single" w:color="000000" w:sz="8" w:space="0"/>
            </w:tcBorders>
            <w:noWrap/>
            <w:vAlign w:val="center"/>
          </w:tcPr>
          <w:p w14:paraId="67DE79BC">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单位</w:t>
            </w:r>
          </w:p>
        </w:tc>
        <w:tc>
          <w:tcPr>
            <w:tcW w:w="645" w:type="dxa"/>
            <w:tcBorders>
              <w:top w:val="single" w:color="000000" w:sz="8" w:space="0"/>
              <w:left w:val="nil"/>
              <w:bottom w:val="single" w:color="000000" w:sz="8" w:space="0"/>
              <w:right w:val="single" w:color="000000" w:sz="8" w:space="0"/>
            </w:tcBorders>
            <w:noWrap/>
            <w:vAlign w:val="center"/>
          </w:tcPr>
          <w:p w14:paraId="57E57117">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数量</w:t>
            </w:r>
          </w:p>
        </w:tc>
        <w:tc>
          <w:tcPr>
            <w:tcW w:w="1125" w:type="dxa"/>
            <w:tcBorders>
              <w:top w:val="single" w:color="000000" w:sz="8" w:space="0"/>
              <w:left w:val="nil"/>
              <w:bottom w:val="single" w:color="000000" w:sz="8" w:space="0"/>
              <w:right w:val="single" w:color="000000" w:sz="8" w:space="0"/>
            </w:tcBorders>
            <w:noWrap/>
            <w:vAlign w:val="center"/>
          </w:tcPr>
          <w:p w14:paraId="0617D3F0">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单价（元）</w:t>
            </w:r>
          </w:p>
        </w:tc>
        <w:tc>
          <w:tcPr>
            <w:tcW w:w="1215" w:type="dxa"/>
            <w:tcBorders>
              <w:top w:val="single" w:color="000000" w:sz="8" w:space="0"/>
              <w:left w:val="nil"/>
              <w:bottom w:val="single" w:color="000000" w:sz="8" w:space="0"/>
              <w:right w:val="single" w:color="000000" w:sz="8" w:space="0"/>
            </w:tcBorders>
            <w:noWrap/>
            <w:vAlign w:val="center"/>
          </w:tcPr>
          <w:p w14:paraId="116B4470">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总价（元）</w:t>
            </w:r>
          </w:p>
        </w:tc>
        <w:tc>
          <w:tcPr>
            <w:tcW w:w="990" w:type="dxa"/>
            <w:tcBorders>
              <w:top w:val="single" w:color="000000" w:sz="8" w:space="0"/>
              <w:left w:val="nil"/>
              <w:bottom w:val="single" w:color="000000" w:sz="8" w:space="0"/>
              <w:right w:val="single" w:color="000000" w:sz="8" w:space="0"/>
            </w:tcBorders>
            <w:noWrap/>
            <w:vAlign w:val="center"/>
          </w:tcPr>
          <w:p w14:paraId="7817B753">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使用周期(月)</w:t>
            </w:r>
          </w:p>
        </w:tc>
        <w:tc>
          <w:tcPr>
            <w:tcW w:w="1155" w:type="dxa"/>
            <w:tcBorders>
              <w:top w:val="single" w:color="000000" w:sz="8" w:space="0"/>
              <w:left w:val="nil"/>
              <w:bottom w:val="single" w:color="000000" w:sz="8" w:space="0"/>
              <w:right w:val="single" w:color="000000" w:sz="8" w:space="0"/>
            </w:tcBorders>
            <w:noWrap/>
            <w:vAlign w:val="center"/>
          </w:tcPr>
          <w:p w14:paraId="3C74375D">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月折旧（元/月）</w:t>
            </w:r>
          </w:p>
        </w:tc>
      </w:tr>
      <w:tr w14:paraId="4B5BEC08">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32A9B0E4">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980" w:type="dxa"/>
            <w:tcBorders>
              <w:top w:val="nil"/>
              <w:left w:val="nil"/>
              <w:bottom w:val="single" w:color="000000" w:sz="8" w:space="0"/>
              <w:right w:val="single" w:color="000000" w:sz="8" w:space="0"/>
            </w:tcBorders>
            <w:noWrap/>
            <w:vAlign w:val="center"/>
          </w:tcPr>
          <w:p w14:paraId="44BA2D79">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对讲机</w:t>
            </w:r>
          </w:p>
        </w:tc>
        <w:tc>
          <w:tcPr>
            <w:tcW w:w="660" w:type="dxa"/>
            <w:tcBorders>
              <w:top w:val="nil"/>
              <w:left w:val="nil"/>
              <w:bottom w:val="single" w:color="000000" w:sz="8" w:space="0"/>
              <w:right w:val="single" w:color="000000" w:sz="8" w:space="0"/>
            </w:tcBorders>
            <w:noWrap/>
            <w:vAlign w:val="center"/>
          </w:tcPr>
          <w:p w14:paraId="492F79C5">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645" w:type="dxa"/>
            <w:tcBorders>
              <w:top w:val="nil"/>
              <w:left w:val="nil"/>
              <w:bottom w:val="single" w:color="000000" w:sz="8" w:space="0"/>
              <w:right w:val="single" w:color="000000" w:sz="8" w:space="0"/>
            </w:tcBorders>
            <w:noWrap/>
            <w:vAlign w:val="center"/>
          </w:tcPr>
          <w:p w14:paraId="3A0911B3">
            <w:pPr>
              <w:widowControl/>
              <w:spacing w:line="440" w:lineRule="exact"/>
              <w:jc w:val="center"/>
              <w:textAlignment w:val="bottom"/>
              <w:rPr>
                <w:rFonts w:ascii="宋体" w:hAnsi="宋体" w:cs="宋体"/>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7DDFE5C6">
            <w:pPr>
              <w:widowControl/>
              <w:spacing w:line="440" w:lineRule="exact"/>
              <w:jc w:val="center"/>
              <w:textAlignment w:val="bottom"/>
              <w:rPr>
                <w:rFonts w:ascii="宋体" w:hAnsi="宋体" w:cs="宋体"/>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73111860">
            <w:pPr>
              <w:widowControl/>
              <w:spacing w:line="440" w:lineRule="exact"/>
              <w:jc w:val="center"/>
              <w:textAlignment w:val="bottom"/>
              <w:rPr>
                <w:rFonts w:ascii="宋体" w:hAnsi="宋体" w:cs="宋体"/>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52BEC918">
            <w:pPr>
              <w:widowControl/>
              <w:spacing w:line="440" w:lineRule="exact"/>
              <w:jc w:val="center"/>
              <w:textAlignment w:val="bottom"/>
              <w:rPr>
                <w:rFonts w:ascii="宋体" w:hAnsi="宋体" w:cs="宋体"/>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6D4F6EBE">
            <w:pPr>
              <w:widowControl/>
              <w:spacing w:line="440" w:lineRule="exact"/>
              <w:jc w:val="center"/>
              <w:textAlignment w:val="bottom"/>
              <w:rPr>
                <w:rFonts w:ascii="宋体" w:hAnsi="宋体" w:cs="宋体"/>
                <w:color w:val="auto"/>
                <w:szCs w:val="21"/>
                <w:highlight w:val="none"/>
              </w:rPr>
            </w:pPr>
          </w:p>
        </w:tc>
      </w:tr>
      <w:tr w14:paraId="2A79220C">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6EBD00F8">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980" w:type="dxa"/>
            <w:tcBorders>
              <w:top w:val="nil"/>
              <w:left w:val="nil"/>
              <w:bottom w:val="single" w:color="000000" w:sz="8" w:space="0"/>
              <w:right w:val="single" w:color="000000" w:sz="8" w:space="0"/>
            </w:tcBorders>
            <w:noWrap/>
            <w:vAlign w:val="center"/>
          </w:tcPr>
          <w:p w14:paraId="0A28A4D8">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远射程蓄电手电</w:t>
            </w:r>
          </w:p>
        </w:tc>
        <w:tc>
          <w:tcPr>
            <w:tcW w:w="660" w:type="dxa"/>
            <w:tcBorders>
              <w:top w:val="nil"/>
              <w:left w:val="nil"/>
              <w:bottom w:val="single" w:color="000000" w:sz="8" w:space="0"/>
              <w:right w:val="single" w:color="000000" w:sz="8" w:space="0"/>
            </w:tcBorders>
            <w:noWrap/>
            <w:vAlign w:val="center"/>
          </w:tcPr>
          <w:p w14:paraId="3B1BC547">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645" w:type="dxa"/>
            <w:tcBorders>
              <w:top w:val="nil"/>
              <w:left w:val="nil"/>
              <w:bottom w:val="single" w:color="000000" w:sz="8" w:space="0"/>
              <w:right w:val="single" w:color="000000" w:sz="8" w:space="0"/>
            </w:tcBorders>
            <w:noWrap/>
            <w:vAlign w:val="center"/>
          </w:tcPr>
          <w:p w14:paraId="5005C7AC">
            <w:pPr>
              <w:widowControl/>
              <w:spacing w:line="440" w:lineRule="exact"/>
              <w:jc w:val="center"/>
              <w:textAlignment w:val="bottom"/>
              <w:rPr>
                <w:rFonts w:ascii="宋体" w:hAnsi="宋体" w:cs="宋体"/>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548035C3">
            <w:pPr>
              <w:widowControl/>
              <w:spacing w:line="440" w:lineRule="exact"/>
              <w:jc w:val="center"/>
              <w:textAlignment w:val="bottom"/>
              <w:rPr>
                <w:rFonts w:ascii="宋体" w:hAnsi="宋体" w:cs="宋体"/>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4DB555AF">
            <w:pPr>
              <w:widowControl/>
              <w:spacing w:line="440" w:lineRule="exact"/>
              <w:jc w:val="center"/>
              <w:textAlignment w:val="bottom"/>
              <w:rPr>
                <w:rFonts w:ascii="宋体" w:hAnsi="宋体" w:cs="宋体"/>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6BA39EF8">
            <w:pPr>
              <w:widowControl/>
              <w:spacing w:line="440" w:lineRule="exact"/>
              <w:jc w:val="center"/>
              <w:textAlignment w:val="bottom"/>
              <w:rPr>
                <w:rFonts w:ascii="宋体" w:hAnsi="宋体" w:cs="宋体"/>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213890E3">
            <w:pPr>
              <w:widowControl/>
              <w:spacing w:line="440" w:lineRule="exact"/>
              <w:jc w:val="center"/>
              <w:textAlignment w:val="bottom"/>
              <w:rPr>
                <w:rFonts w:ascii="宋体" w:hAnsi="宋体" w:cs="宋体"/>
                <w:color w:val="auto"/>
                <w:szCs w:val="21"/>
                <w:highlight w:val="none"/>
              </w:rPr>
            </w:pPr>
          </w:p>
        </w:tc>
      </w:tr>
      <w:tr w14:paraId="1ED19535">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76DD6356">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1980" w:type="dxa"/>
            <w:tcBorders>
              <w:top w:val="nil"/>
              <w:left w:val="nil"/>
              <w:bottom w:val="single" w:color="000000" w:sz="8" w:space="0"/>
              <w:right w:val="single" w:color="000000" w:sz="8" w:space="0"/>
            </w:tcBorders>
            <w:noWrap/>
            <w:vAlign w:val="center"/>
          </w:tcPr>
          <w:p w14:paraId="332B38EC">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防割手套</w:t>
            </w:r>
          </w:p>
        </w:tc>
        <w:tc>
          <w:tcPr>
            <w:tcW w:w="660" w:type="dxa"/>
            <w:tcBorders>
              <w:top w:val="nil"/>
              <w:left w:val="nil"/>
              <w:bottom w:val="single" w:color="000000" w:sz="8" w:space="0"/>
              <w:right w:val="single" w:color="000000" w:sz="8" w:space="0"/>
            </w:tcBorders>
            <w:noWrap/>
            <w:vAlign w:val="center"/>
          </w:tcPr>
          <w:p w14:paraId="261A4314">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副</w:t>
            </w:r>
          </w:p>
        </w:tc>
        <w:tc>
          <w:tcPr>
            <w:tcW w:w="645" w:type="dxa"/>
            <w:tcBorders>
              <w:top w:val="nil"/>
              <w:left w:val="nil"/>
              <w:bottom w:val="single" w:color="000000" w:sz="8" w:space="0"/>
              <w:right w:val="single" w:color="000000" w:sz="8" w:space="0"/>
            </w:tcBorders>
            <w:noWrap/>
            <w:vAlign w:val="center"/>
          </w:tcPr>
          <w:p w14:paraId="15943E6F">
            <w:pPr>
              <w:widowControl/>
              <w:spacing w:line="440" w:lineRule="exact"/>
              <w:jc w:val="center"/>
              <w:textAlignment w:val="bottom"/>
              <w:rPr>
                <w:rFonts w:ascii="宋体" w:hAnsi="宋体" w:cs="宋体"/>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56B2E6BC">
            <w:pPr>
              <w:widowControl/>
              <w:spacing w:line="440" w:lineRule="exact"/>
              <w:jc w:val="center"/>
              <w:textAlignment w:val="bottom"/>
              <w:rPr>
                <w:rFonts w:ascii="宋体" w:hAnsi="宋体" w:cs="宋体"/>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148740F4">
            <w:pPr>
              <w:widowControl/>
              <w:spacing w:line="440" w:lineRule="exact"/>
              <w:jc w:val="center"/>
              <w:textAlignment w:val="bottom"/>
              <w:rPr>
                <w:rFonts w:ascii="宋体" w:hAnsi="宋体" w:cs="宋体"/>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6BDA5494">
            <w:pPr>
              <w:widowControl/>
              <w:spacing w:line="440" w:lineRule="exact"/>
              <w:jc w:val="center"/>
              <w:textAlignment w:val="bottom"/>
              <w:rPr>
                <w:rFonts w:ascii="宋体" w:hAnsi="宋体" w:cs="宋体"/>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06FA53EA">
            <w:pPr>
              <w:widowControl/>
              <w:spacing w:line="440" w:lineRule="exact"/>
              <w:jc w:val="center"/>
              <w:textAlignment w:val="bottom"/>
              <w:rPr>
                <w:rFonts w:ascii="宋体" w:hAnsi="宋体" w:cs="宋体"/>
                <w:color w:val="auto"/>
                <w:szCs w:val="21"/>
                <w:highlight w:val="none"/>
              </w:rPr>
            </w:pPr>
          </w:p>
        </w:tc>
      </w:tr>
      <w:tr w14:paraId="07A612C2">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2C1EEF39">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1980" w:type="dxa"/>
            <w:tcBorders>
              <w:top w:val="nil"/>
              <w:left w:val="nil"/>
              <w:bottom w:val="single" w:color="000000" w:sz="8" w:space="0"/>
              <w:right w:val="single" w:color="000000" w:sz="8" w:space="0"/>
            </w:tcBorders>
            <w:noWrap/>
            <w:vAlign w:val="center"/>
          </w:tcPr>
          <w:p w14:paraId="296BB94A">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套鞋</w:t>
            </w:r>
          </w:p>
        </w:tc>
        <w:tc>
          <w:tcPr>
            <w:tcW w:w="660" w:type="dxa"/>
            <w:tcBorders>
              <w:top w:val="nil"/>
              <w:left w:val="nil"/>
              <w:bottom w:val="single" w:color="000000" w:sz="8" w:space="0"/>
              <w:right w:val="single" w:color="000000" w:sz="8" w:space="0"/>
            </w:tcBorders>
            <w:noWrap/>
            <w:vAlign w:val="center"/>
          </w:tcPr>
          <w:p w14:paraId="11684975">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双</w:t>
            </w:r>
          </w:p>
        </w:tc>
        <w:tc>
          <w:tcPr>
            <w:tcW w:w="645" w:type="dxa"/>
            <w:tcBorders>
              <w:top w:val="nil"/>
              <w:left w:val="nil"/>
              <w:bottom w:val="single" w:color="000000" w:sz="8" w:space="0"/>
              <w:right w:val="single" w:color="000000" w:sz="8" w:space="0"/>
            </w:tcBorders>
            <w:noWrap/>
            <w:vAlign w:val="center"/>
          </w:tcPr>
          <w:p w14:paraId="007391F7">
            <w:pPr>
              <w:widowControl/>
              <w:spacing w:line="440" w:lineRule="exact"/>
              <w:jc w:val="center"/>
              <w:textAlignment w:val="bottom"/>
              <w:rPr>
                <w:rFonts w:ascii="宋体" w:hAnsi="宋体" w:cs="宋体"/>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54C4264C">
            <w:pPr>
              <w:widowControl/>
              <w:spacing w:line="440" w:lineRule="exact"/>
              <w:jc w:val="center"/>
              <w:textAlignment w:val="bottom"/>
              <w:rPr>
                <w:rFonts w:ascii="宋体" w:hAnsi="宋体" w:cs="宋体"/>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1934C925">
            <w:pPr>
              <w:widowControl/>
              <w:spacing w:line="440" w:lineRule="exact"/>
              <w:jc w:val="center"/>
              <w:textAlignment w:val="bottom"/>
              <w:rPr>
                <w:rFonts w:ascii="宋体" w:hAnsi="宋体" w:cs="宋体"/>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43E76C17">
            <w:pPr>
              <w:widowControl/>
              <w:spacing w:line="440" w:lineRule="exact"/>
              <w:jc w:val="center"/>
              <w:textAlignment w:val="bottom"/>
              <w:rPr>
                <w:rFonts w:ascii="宋体" w:hAnsi="宋体" w:cs="宋体"/>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608605DA">
            <w:pPr>
              <w:widowControl/>
              <w:spacing w:line="440" w:lineRule="exact"/>
              <w:jc w:val="center"/>
              <w:textAlignment w:val="bottom"/>
              <w:rPr>
                <w:rFonts w:ascii="宋体" w:hAnsi="宋体" w:cs="宋体"/>
                <w:color w:val="auto"/>
                <w:szCs w:val="21"/>
                <w:highlight w:val="none"/>
              </w:rPr>
            </w:pPr>
          </w:p>
        </w:tc>
      </w:tr>
      <w:tr w14:paraId="2E5130A5">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4CD27E91">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1980" w:type="dxa"/>
            <w:tcBorders>
              <w:top w:val="nil"/>
              <w:left w:val="nil"/>
              <w:bottom w:val="single" w:color="000000" w:sz="8" w:space="0"/>
              <w:right w:val="single" w:color="000000" w:sz="8" w:space="0"/>
            </w:tcBorders>
            <w:noWrap/>
            <w:vAlign w:val="center"/>
          </w:tcPr>
          <w:p w14:paraId="567F75E6">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警棍</w:t>
            </w:r>
          </w:p>
        </w:tc>
        <w:tc>
          <w:tcPr>
            <w:tcW w:w="660" w:type="dxa"/>
            <w:tcBorders>
              <w:top w:val="nil"/>
              <w:left w:val="nil"/>
              <w:bottom w:val="single" w:color="000000" w:sz="8" w:space="0"/>
              <w:right w:val="single" w:color="000000" w:sz="8" w:space="0"/>
            </w:tcBorders>
            <w:noWrap/>
            <w:vAlign w:val="center"/>
          </w:tcPr>
          <w:p w14:paraId="36B9B49C">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645" w:type="dxa"/>
            <w:tcBorders>
              <w:top w:val="nil"/>
              <w:left w:val="nil"/>
              <w:bottom w:val="single" w:color="000000" w:sz="8" w:space="0"/>
              <w:right w:val="single" w:color="000000" w:sz="8" w:space="0"/>
            </w:tcBorders>
            <w:noWrap/>
            <w:vAlign w:val="center"/>
          </w:tcPr>
          <w:p w14:paraId="610646FC">
            <w:pPr>
              <w:widowControl/>
              <w:spacing w:line="440" w:lineRule="exact"/>
              <w:jc w:val="center"/>
              <w:textAlignment w:val="bottom"/>
              <w:rPr>
                <w:rFonts w:ascii="宋体" w:hAnsi="宋体" w:cs="宋体"/>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20E7418A">
            <w:pPr>
              <w:widowControl/>
              <w:spacing w:line="440" w:lineRule="exact"/>
              <w:jc w:val="center"/>
              <w:textAlignment w:val="bottom"/>
              <w:rPr>
                <w:rFonts w:ascii="宋体" w:hAnsi="宋体" w:cs="宋体"/>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500AC7A5">
            <w:pPr>
              <w:widowControl/>
              <w:spacing w:line="440" w:lineRule="exact"/>
              <w:jc w:val="center"/>
              <w:textAlignment w:val="bottom"/>
              <w:rPr>
                <w:rFonts w:ascii="宋体" w:hAnsi="宋体" w:cs="宋体"/>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6EAFB06C">
            <w:pPr>
              <w:widowControl/>
              <w:spacing w:line="440" w:lineRule="exact"/>
              <w:jc w:val="center"/>
              <w:textAlignment w:val="bottom"/>
              <w:rPr>
                <w:rFonts w:ascii="宋体" w:hAnsi="宋体" w:cs="宋体"/>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0C347161">
            <w:pPr>
              <w:widowControl/>
              <w:spacing w:line="440" w:lineRule="exact"/>
              <w:jc w:val="center"/>
              <w:textAlignment w:val="bottom"/>
              <w:rPr>
                <w:rFonts w:ascii="宋体" w:hAnsi="宋体" w:cs="宋体"/>
                <w:color w:val="auto"/>
                <w:szCs w:val="21"/>
                <w:highlight w:val="none"/>
              </w:rPr>
            </w:pPr>
          </w:p>
        </w:tc>
      </w:tr>
      <w:tr w14:paraId="380B2067">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1CA6EBDB">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p>
        </w:tc>
        <w:tc>
          <w:tcPr>
            <w:tcW w:w="1980" w:type="dxa"/>
            <w:tcBorders>
              <w:top w:val="nil"/>
              <w:left w:val="nil"/>
              <w:bottom w:val="single" w:color="000000" w:sz="8" w:space="0"/>
              <w:right w:val="single" w:color="000000" w:sz="8" w:space="0"/>
            </w:tcBorders>
            <w:noWrap/>
            <w:vAlign w:val="center"/>
          </w:tcPr>
          <w:p w14:paraId="2186F4D9">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武装带</w:t>
            </w:r>
          </w:p>
        </w:tc>
        <w:tc>
          <w:tcPr>
            <w:tcW w:w="660" w:type="dxa"/>
            <w:tcBorders>
              <w:top w:val="nil"/>
              <w:left w:val="nil"/>
              <w:bottom w:val="single" w:color="000000" w:sz="8" w:space="0"/>
              <w:right w:val="single" w:color="000000" w:sz="8" w:space="0"/>
            </w:tcBorders>
            <w:noWrap/>
            <w:vAlign w:val="center"/>
          </w:tcPr>
          <w:p w14:paraId="5A962C07">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根</w:t>
            </w:r>
          </w:p>
        </w:tc>
        <w:tc>
          <w:tcPr>
            <w:tcW w:w="645" w:type="dxa"/>
            <w:tcBorders>
              <w:top w:val="nil"/>
              <w:left w:val="nil"/>
              <w:bottom w:val="single" w:color="000000" w:sz="8" w:space="0"/>
              <w:right w:val="single" w:color="000000" w:sz="8" w:space="0"/>
            </w:tcBorders>
            <w:noWrap/>
            <w:vAlign w:val="center"/>
          </w:tcPr>
          <w:p w14:paraId="646D9A7E">
            <w:pPr>
              <w:widowControl/>
              <w:spacing w:line="440" w:lineRule="exact"/>
              <w:jc w:val="center"/>
              <w:textAlignment w:val="bottom"/>
              <w:rPr>
                <w:rFonts w:ascii="宋体" w:hAnsi="宋体" w:cs="宋体"/>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740854D2">
            <w:pPr>
              <w:widowControl/>
              <w:spacing w:line="440" w:lineRule="exact"/>
              <w:jc w:val="center"/>
              <w:textAlignment w:val="bottom"/>
              <w:rPr>
                <w:rFonts w:ascii="宋体" w:hAnsi="宋体" w:cs="宋体"/>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7718562C">
            <w:pPr>
              <w:widowControl/>
              <w:spacing w:line="440" w:lineRule="exact"/>
              <w:jc w:val="center"/>
              <w:textAlignment w:val="bottom"/>
              <w:rPr>
                <w:rFonts w:ascii="宋体" w:hAnsi="宋体" w:cs="宋体"/>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36A543E6">
            <w:pPr>
              <w:widowControl/>
              <w:spacing w:line="440" w:lineRule="exact"/>
              <w:jc w:val="center"/>
              <w:textAlignment w:val="bottom"/>
              <w:rPr>
                <w:rFonts w:ascii="宋体" w:hAnsi="宋体" w:cs="宋体"/>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071B8F40">
            <w:pPr>
              <w:widowControl/>
              <w:spacing w:line="440" w:lineRule="exact"/>
              <w:jc w:val="center"/>
              <w:textAlignment w:val="bottom"/>
              <w:rPr>
                <w:rFonts w:ascii="宋体" w:hAnsi="宋体" w:cs="宋体"/>
                <w:color w:val="auto"/>
                <w:szCs w:val="21"/>
                <w:highlight w:val="none"/>
              </w:rPr>
            </w:pPr>
          </w:p>
        </w:tc>
      </w:tr>
      <w:tr w14:paraId="2FFC0184">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5F841AA6">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p>
        </w:tc>
        <w:tc>
          <w:tcPr>
            <w:tcW w:w="1980" w:type="dxa"/>
            <w:tcBorders>
              <w:top w:val="nil"/>
              <w:left w:val="nil"/>
              <w:bottom w:val="single" w:color="000000" w:sz="8" w:space="0"/>
              <w:right w:val="single" w:color="000000" w:sz="8" w:space="0"/>
            </w:tcBorders>
            <w:noWrap/>
            <w:vAlign w:val="center"/>
          </w:tcPr>
          <w:p w14:paraId="061FEB6F">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雨具</w:t>
            </w:r>
          </w:p>
        </w:tc>
        <w:tc>
          <w:tcPr>
            <w:tcW w:w="660" w:type="dxa"/>
            <w:tcBorders>
              <w:top w:val="nil"/>
              <w:left w:val="nil"/>
              <w:bottom w:val="single" w:color="000000" w:sz="8" w:space="0"/>
              <w:right w:val="single" w:color="000000" w:sz="8" w:space="0"/>
            </w:tcBorders>
            <w:noWrap/>
            <w:vAlign w:val="center"/>
          </w:tcPr>
          <w:p w14:paraId="46C594F3">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件</w:t>
            </w:r>
          </w:p>
        </w:tc>
        <w:tc>
          <w:tcPr>
            <w:tcW w:w="645" w:type="dxa"/>
            <w:tcBorders>
              <w:top w:val="nil"/>
              <w:left w:val="nil"/>
              <w:bottom w:val="single" w:color="000000" w:sz="8" w:space="0"/>
              <w:right w:val="single" w:color="000000" w:sz="8" w:space="0"/>
            </w:tcBorders>
            <w:noWrap/>
            <w:vAlign w:val="center"/>
          </w:tcPr>
          <w:p w14:paraId="54D7A30A">
            <w:pPr>
              <w:widowControl/>
              <w:spacing w:line="440" w:lineRule="exact"/>
              <w:jc w:val="center"/>
              <w:textAlignment w:val="bottom"/>
              <w:rPr>
                <w:rFonts w:ascii="宋体" w:hAnsi="宋体" w:cs="宋体"/>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571FF200">
            <w:pPr>
              <w:widowControl/>
              <w:spacing w:line="440" w:lineRule="exact"/>
              <w:jc w:val="center"/>
              <w:textAlignment w:val="bottom"/>
              <w:rPr>
                <w:rFonts w:ascii="宋体" w:hAnsi="宋体" w:cs="宋体"/>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01667FD1">
            <w:pPr>
              <w:widowControl/>
              <w:spacing w:line="440" w:lineRule="exact"/>
              <w:jc w:val="center"/>
              <w:textAlignment w:val="bottom"/>
              <w:rPr>
                <w:rFonts w:ascii="宋体" w:hAnsi="宋体" w:cs="宋体"/>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6ADD2E67">
            <w:pPr>
              <w:widowControl/>
              <w:spacing w:line="440" w:lineRule="exact"/>
              <w:jc w:val="center"/>
              <w:textAlignment w:val="bottom"/>
              <w:rPr>
                <w:rFonts w:ascii="宋体" w:hAnsi="宋体" w:cs="宋体"/>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206C1CDD">
            <w:pPr>
              <w:widowControl/>
              <w:spacing w:line="440" w:lineRule="exact"/>
              <w:jc w:val="center"/>
              <w:textAlignment w:val="bottom"/>
              <w:rPr>
                <w:rFonts w:ascii="宋体" w:hAnsi="宋体" w:cs="宋体"/>
                <w:color w:val="auto"/>
                <w:szCs w:val="21"/>
                <w:highlight w:val="none"/>
              </w:rPr>
            </w:pPr>
          </w:p>
        </w:tc>
      </w:tr>
      <w:tr w14:paraId="44D0B4AF">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3F0CEA69">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p>
        </w:tc>
        <w:tc>
          <w:tcPr>
            <w:tcW w:w="1980" w:type="dxa"/>
            <w:tcBorders>
              <w:top w:val="nil"/>
              <w:left w:val="nil"/>
              <w:bottom w:val="single" w:color="000000" w:sz="8" w:space="0"/>
              <w:right w:val="single" w:color="000000" w:sz="8" w:space="0"/>
            </w:tcBorders>
            <w:noWrap/>
            <w:vAlign w:val="center"/>
          </w:tcPr>
          <w:p w14:paraId="66D11A6A">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玻璃刮</w:t>
            </w:r>
          </w:p>
        </w:tc>
        <w:tc>
          <w:tcPr>
            <w:tcW w:w="660" w:type="dxa"/>
            <w:tcBorders>
              <w:top w:val="nil"/>
              <w:left w:val="nil"/>
              <w:bottom w:val="single" w:color="000000" w:sz="8" w:space="0"/>
              <w:right w:val="single" w:color="000000" w:sz="8" w:space="0"/>
            </w:tcBorders>
            <w:noWrap/>
            <w:vAlign w:val="center"/>
          </w:tcPr>
          <w:p w14:paraId="1B4CED94">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套</w:t>
            </w:r>
          </w:p>
        </w:tc>
        <w:tc>
          <w:tcPr>
            <w:tcW w:w="645" w:type="dxa"/>
            <w:tcBorders>
              <w:top w:val="nil"/>
              <w:left w:val="nil"/>
              <w:bottom w:val="single" w:color="000000" w:sz="8" w:space="0"/>
              <w:right w:val="single" w:color="000000" w:sz="8" w:space="0"/>
            </w:tcBorders>
            <w:noWrap/>
            <w:vAlign w:val="center"/>
          </w:tcPr>
          <w:p w14:paraId="11611A88">
            <w:pPr>
              <w:widowControl/>
              <w:spacing w:line="440" w:lineRule="exact"/>
              <w:jc w:val="center"/>
              <w:textAlignment w:val="bottom"/>
              <w:rPr>
                <w:rFonts w:ascii="宋体" w:hAnsi="宋体" w:cs="宋体"/>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56B24A1B">
            <w:pPr>
              <w:widowControl/>
              <w:spacing w:line="440" w:lineRule="exact"/>
              <w:jc w:val="center"/>
              <w:textAlignment w:val="bottom"/>
              <w:rPr>
                <w:rFonts w:ascii="宋体" w:hAnsi="宋体" w:cs="宋体"/>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5BE89EA3">
            <w:pPr>
              <w:widowControl/>
              <w:spacing w:line="440" w:lineRule="exact"/>
              <w:jc w:val="center"/>
              <w:textAlignment w:val="bottom"/>
              <w:rPr>
                <w:rFonts w:ascii="宋体" w:hAnsi="宋体" w:cs="宋体"/>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41269506">
            <w:pPr>
              <w:widowControl/>
              <w:spacing w:line="440" w:lineRule="exact"/>
              <w:jc w:val="center"/>
              <w:textAlignment w:val="bottom"/>
              <w:rPr>
                <w:rFonts w:ascii="宋体" w:hAnsi="宋体" w:cs="宋体"/>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1DFB7D5C">
            <w:pPr>
              <w:widowControl/>
              <w:spacing w:line="440" w:lineRule="exact"/>
              <w:jc w:val="center"/>
              <w:textAlignment w:val="bottom"/>
              <w:rPr>
                <w:rFonts w:ascii="宋体" w:hAnsi="宋体" w:cs="宋体"/>
                <w:color w:val="auto"/>
                <w:szCs w:val="21"/>
                <w:highlight w:val="none"/>
              </w:rPr>
            </w:pPr>
          </w:p>
        </w:tc>
      </w:tr>
      <w:tr w14:paraId="7629D4B3">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48764F4E">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w:t>
            </w:r>
          </w:p>
        </w:tc>
        <w:tc>
          <w:tcPr>
            <w:tcW w:w="1980" w:type="dxa"/>
            <w:tcBorders>
              <w:top w:val="nil"/>
              <w:left w:val="nil"/>
              <w:bottom w:val="single" w:color="000000" w:sz="8" w:space="0"/>
              <w:right w:val="single" w:color="000000" w:sz="8" w:space="0"/>
            </w:tcBorders>
            <w:noWrap/>
            <w:vAlign w:val="center"/>
          </w:tcPr>
          <w:p w14:paraId="472B1CC2">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水桶</w:t>
            </w:r>
          </w:p>
        </w:tc>
        <w:tc>
          <w:tcPr>
            <w:tcW w:w="660" w:type="dxa"/>
            <w:tcBorders>
              <w:top w:val="nil"/>
              <w:left w:val="nil"/>
              <w:bottom w:val="single" w:color="000000" w:sz="8" w:space="0"/>
              <w:right w:val="single" w:color="000000" w:sz="8" w:space="0"/>
            </w:tcBorders>
            <w:noWrap/>
            <w:vAlign w:val="center"/>
          </w:tcPr>
          <w:p w14:paraId="268E173C">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645" w:type="dxa"/>
            <w:tcBorders>
              <w:top w:val="nil"/>
              <w:left w:val="nil"/>
              <w:bottom w:val="single" w:color="000000" w:sz="8" w:space="0"/>
              <w:right w:val="single" w:color="000000" w:sz="8" w:space="0"/>
            </w:tcBorders>
            <w:noWrap/>
            <w:vAlign w:val="center"/>
          </w:tcPr>
          <w:p w14:paraId="3DDAE7D2">
            <w:pPr>
              <w:widowControl/>
              <w:spacing w:line="440" w:lineRule="exact"/>
              <w:jc w:val="center"/>
              <w:textAlignment w:val="bottom"/>
              <w:rPr>
                <w:rFonts w:ascii="宋体" w:hAnsi="宋体" w:cs="宋体"/>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72FDD6B6">
            <w:pPr>
              <w:widowControl/>
              <w:spacing w:line="440" w:lineRule="exact"/>
              <w:jc w:val="center"/>
              <w:textAlignment w:val="bottom"/>
              <w:rPr>
                <w:rFonts w:ascii="宋体" w:hAnsi="宋体" w:cs="宋体"/>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5F5B6BEA">
            <w:pPr>
              <w:widowControl/>
              <w:spacing w:line="440" w:lineRule="exact"/>
              <w:jc w:val="center"/>
              <w:textAlignment w:val="bottom"/>
              <w:rPr>
                <w:rFonts w:ascii="宋体" w:hAnsi="宋体" w:cs="宋体"/>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6E617E96">
            <w:pPr>
              <w:widowControl/>
              <w:spacing w:line="440" w:lineRule="exact"/>
              <w:jc w:val="center"/>
              <w:textAlignment w:val="bottom"/>
              <w:rPr>
                <w:rFonts w:ascii="宋体" w:hAnsi="宋体" w:cs="宋体"/>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0C29AC4F">
            <w:pPr>
              <w:widowControl/>
              <w:spacing w:line="440" w:lineRule="exact"/>
              <w:jc w:val="center"/>
              <w:textAlignment w:val="bottom"/>
              <w:rPr>
                <w:rFonts w:ascii="宋体" w:hAnsi="宋体" w:cs="宋体"/>
                <w:color w:val="auto"/>
                <w:szCs w:val="21"/>
                <w:highlight w:val="none"/>
              </w:rPr>
            </w:pPr>
          </w:p>
        </w:tc>
      </w:tr>
      <w:tr w14:paraId="06F50BA0">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28B67B26">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10</w:t>
            </w:r>
          </w:p>
        </w:tc>
        <w:tc>
          <w:tcPr>
            <w:tcW w:w="1980" w:type="dxa"/>
            <w:tcBorders>
              <w:top w:val="nil"/>
              <w:left w:val="nil"/>
              <w:bottom w:val="single" w:color="000000" w:sz="8" w:space="0"/>
              <w:right w:val="single" w:color="000000" w:sz="8" w:space="0"/>
            </w:tcBorders>
            <w:noWrap/>
            <w:vAlign w:val="center"/>
          </w:tcPr>
          <w:p w14:paraId="719745D2">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地刷</w:t>
            </w:r>
          </w:p>
        </w:tc>
        <w:tc>
          <w:tcPr>
            <w:tcW w:w="660" w:type="dxa"/>
            <w:tcBorders>
              <w:top w:val="nil"/>
              <w:left w:val="nil"/>
              <w:bottom w:val="single" w:color="000000" w:sz="8" w:space="0"/>
              <w:right w:val="single" w:color="000000" w:sz="8" w:space="0"/>
            </w:tcBorders>
            <w:noWrap/>
            <w:vAlign w:val="center"/>
          </w:tcPr>
          <w:p w14:paraId="6E8908DF">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把</w:t>
            </w:r>
          </w:p>
        </w:tc>
        <w:tc>
          <w:tcPr>
            <w:tcW w:w="645" w:type="dxa"/>
            <w:tcBorders>
              <w:top w:val="nil"/>
              <w:left w:val="nil"/>
              <w:bottom w:val="single" w:color="000000" w:sz="8" w:space="0"/>
              <w:right w:val="single" w:color="000000" w:sz="8" w:space="0"/>
            </w:tcBorders>
            <w:noWrap/>
            <w:vAlign w:val="center"/>
          </w:tcPr>
          <w:p w14:paraId="4C9AF3BA">
            <w:pPr>
              <w:widowControl/>
              <w:spacing w:line="440" w:lineRule="exact"/>
              <w:jc w:val="center"/>
              <w:textAlignment w:val="bottom"/>
              <w:rPr>
                <w:rFonts w:ascii="宋体" w:hAnsi="宋体" w:cs="宋体"/>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15E8AB1A">
            <w:pPr>
              <w:widowControl/>
              <w:spacing w:line="440" w:lineRule="exact"/>
              <w:jc w:val="center"/>
              <w:textAlignment w:val="bottom"/>
              <w:rPr>
                <w:rFonts w:ascii="宋体" w:hAnsi="宋体" w:cs="宋体"/>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37E4259D">
            <w:pPr>
              <w:widowControl/>
              <w:spacing w:line="440" w:lineRule="exact"/>
              <w:jc w:val="center"/>
              <w:textAlignment w:val="bottom"/>
              <w:rPr>
                <w:rFonts w:ascii="宋体" w:hAnsi="宋体" w:cs="宋体"/>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1AEC40A4">
            <w:pPr>
              <w:widowControl/>
              <w:spacing w:line="440" w:lineRule="exact"/>
              <w:jc w:val="center"/>
              <w:textAlignment w:val="bottom"/>
              <w:rPr>
                <w:rFonts w:ascii="宋体" w:hAnsi="宋体" w:cs="宋体"/>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1A50A9DB">
            <w:pPr>
              <w:widowControl/>
              <w:spacing w:line="440" w:lineRule="exact"/>
              <w:jc w:val="center"/>
              <w:textAlignment w:val="bottom"/>
              <w:rPr>
                <w:rFonts w:ascii="宋体" w:hAnsi="宋体" w:cs="宋体"/>
                <w:color w:val="auto"/>
                <w:szCs w:val="21"/>
                <w:highlight w:val="none"/>
              </w:rPr>
            </w:pPr>
          </w:p>
        </w:tc>
      </w:tr>
      <w:tr w14:paraId="5A27DB65">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2789F942">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11</w:t>
            </w:r>
          </w:p>
        </w:tc>
        <w:tc>
          <w:tcPr>
            <w:tcW w:w="1980" w:type="dxa"/>
            <w:tcBorders>
              <w:top w:val="nil"/>
              <w:left w:val="nil"/>
              <w:bottom w:val="single" w:color="000000" w:sz="8" w:space="0"/>
              <w:right w:val="single" w:color="000000" w:sz="8" w:space="0"/>
            </w:tcBorders>
            <w:noWrap/>
            <w:vAlign w:val="center"/>
          </w:tcPr>
          <w:p w14:paraId="6C87A9EE">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垃圾斗</w:t>
            </w:r>
          </w:p>
        </w:tc>
        <w:tc>
          <w:tcPr>
            <w:tcW w:w="660" w:type="dxa"/>
            <w:tcBorders>
              <w:top w:val="nil"/>
              <w:left w:val="nil"/>
              <w:bottom w:val="single" w:color="000000" w:sz="8" w:space="0"/>
              <w:right w:val="single" w:color="000000" w:sz="8" w:space="0"/>
            </w:tcBorders>
            <w:noWrap/>
            <w:vAlign w:val="center"/>
          </w:tcPr>
          <w:p w14:paraId="7ED54EB5">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645" w:type="dxa"/>
            <w:tcBorders>
              <w:top w:val="nil"/>
              <w:left w:val="nil"/>
              <w:bottom w:val="single" w:color="000000" w:sz="8" w:space="0"/>
              <w:right w:val="single" w:color="000000" w:sz="8" w:space="0"/>
            </w:tcBorders>
            <w:noWrap/>
            <w:vAlign w:val="center"/>
          </w:tcPr>
          <w:p w14:paraId="61903A55">
            <w:pPr>
              <w:widowControl/>
              <w:spacing w:line="440" w:lineRule="exact"/>
              <w:jc w:val="center"/>
              <w:textAlignment w:val="bottom"/>
              <w:rPr>
                <w:rFonts w:ascii="宋体" w:hAnsi="宋体" w:cs="宋体"/>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0572F4D2">
            <w:pPr>
              <w:widowControl/>
              <w:spacing w:line="440" w:lineRule="exact"/>
              <w:jc w:val="center"/>
              <w:textAlignment w:val="bottom"/>
              <w:rPr>
                <w:rFonts w:ascii="宋体" w:hAnsi="宋体" w:cs="宋体"/>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6A593150">
            <w:pPr>
              <w:widowControl/>
              <w:spacing w:line="440" w:lineRule="exact"/>
              <w:jc w:val="center"/>
              <w:textAlignment w:val="bottom"/>
              <w:rPr>
                <w:rFonts w:ascii="宋体" w:hAnsi="宋体" w:cs="宋体"/>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6CFBAE0D">
            <w:pPr>
              <w:widowControl/>
              <w:spacing w:line="440" w:lineRule="exact"/>
              <w:jc w:val="center"/>
              <w:textAlignment w:val="bottom"/>
              <w:rPr>
                <w:rFonts w:ascii="宋体" w:hAnsi="宋体" w:cs="宋体"/>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378DC79B">
            <w:pPr>
              <w:widowControl/>
              <w:spacing w:line="440" w:lineRule="exact"/>
              <w:jc w:val="center"/>
              <w:textAlignment w:val="bottom"/>
              <w:rPr>
                <w:rFonts w:ascii="宋体" w:hAnsi="宋体" w:cs="宋体"/>
                <w:color w:val="auto"/>
                <w:szCs w:val="21"/>
                <w:highlight w:val="none"/>
              </w:rPr>
            </w:pPr>
          </w:p>
        </w:tc>
      </w:tr>
      <w:tr w14:paraId="31674EE3">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36E346FD">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12</w:t>
            </w:r>
          </w:p>
        </w:tc>
        <w:tc>
          <w:tcPr>
            <w:tcW w:w="1980" w:type="dxa"/>
            <w:tcBorders>
              <w:top w:val="nil"/>
              <w:left w:val="nil"/>
              <w:bottom w:val="single" w:color="000000" w:sz="8" w:space="0"/>
              <w:right w:val="single" w:color="000000" w:sz="8" w:space="0"/>
            </w:tcBorders>
            <w:noWrap/>
            <w:vAlign w:val="center"/>
          </w:tcPr>
          <w:p w14:paraId="2146F6D0">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塑料扫把</w:t>
            </w:r>
          </w:p>
        </w:tc>
        <w:tc>
          <w:tcPr>
            <w:tcW w:w="660" w:type="dxa"/>
            <w:tcBorders>
              <w:top w:val="nil"/>
              <w:left w:val="nil"/>
              <w:bottom w:val="single" w:color="000000" w:sz="8" w:space="0"/>
              <w:right w:val="single" w:color="000000" w:sz="8" w:space="0"/>
            </w:tcBorders>
            <w:noWrap/>
            <w:vAlign w:val="center"/>
          </w:tcPr>
          <w:p w14:paraId="1919D996">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把</w:t>
            </w:r>
          </w:p>
        </w:tc>
        <w:tc>
          <w:tcPr>
            <w:tcW w:w="645" w:type="dxa"/>
            <w:tcBorders>
              <w:top w:val="nil"/>
              <w:left w:val="nil"/>
              <w:bottom w:val="single" w:color="000000" w:sz="8" w:space="0"/>
              <w:right w:val="single" w:color="000000" w:sz="8" w:space="0"/>
            </w:tcBorders>
            <w:noWrap/>
            <w:vAlign w:val="center"/>
          </w:tcPr>
          <w:p w14:paraId="35AA289C">
            <w:pPr>
              <w:widowControl/>
              <w:spacing w:line="440" w:lineRule="exact"/>
              <w:jc w:val="center"/>
              <w:textAlignment w:val="bottom"/>
              <w:rPr>
                <w:rFonts w:ascii="宋体" w:hAnsi="宋体" w:cs="宋体"/>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14AE278F">
            <w:pPr>
              <w:widowControl/>
              <w:spacing w:line="440" w:lineRule="exact"/>
              <w:jc w:val="center"/>
              <w:textAlignment w:val="bottom"/>
              <w:rPr>
                <w:rFonts w:ascii="宋体" w:hAnsi="宋体" w:cs="宋体"/>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697BEEE7">
            <w:pPr>
              <w:widowControl/>
              <w:spacing w:line="440" w:lineRule="exact"/>
              <w:jc w:val="center"/>
              <w:textAlignment w:val="bottom"/>
              <w:rPr>
                <w:rFonts w:ascii="宋体" w:hAnsi="宋体" w:cs="宋体"/>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4562B50A">
            <w:pPr>
              <w:widowControl/>
              <w:spacing w:line="440" w:lineRule="exact"/>
              <w:jc w:val="center"/>
              <w:textAlignment w:val="bottom"/>
              <w:rPr>
                <w:rFonts w:ascii="宋体" w:hAnsi="宋体" w:cs="宋体"/>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18F4AA6D">
            <w:pPr>
              <w:widowControl/>
              <w:spacing w:line="440" w:lineRule="exact"/>
              <w:jc w:val="center"/>
              <w:textAlignment w:val="bottom"/>
              <w:rPr>
                <w:rFonts w:ascii="宋体" w:hAnsi="宋体" w:cs="宋体"/>
                <w:color w:val="auto"/>
                <w:szCs w:val="21"/>
                <w:highlight w:val="none"/>
              </w:rPr>
            </w:pPr>
          </w:p>
        </w:tc>
      </w:tr>
      <w:tr w14:paraId="518328A5">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16B6F44D">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13</w:t>
            </w:r>
          </w:p>
        </w:tc>
        <w:tc>
          <w:tcPr>
            <w:tcW w:w="1980" w:type="dxa"/>
            <w:tcBorders>
              <w:top w:val="nil"/>
              <w:left w:val="nil"/>
              <w:bottom w:val="single" w:color="000000" w:sz="8" w:space="0"/>
              <w:right w:val="single" w:color="000000" w:sz="8" w:space="0"/>
            </w:tcBorders>
            <w:noWrap/>
            <w:vAlign w:val="center"/>
          </w:tcPr>
          <w:p w14:paraId="0477CDF4">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卫生吸泵</w:t>
            </w:r>
          </w:p>
        </w:tc>
        <w:tc>
          <w:tcPr>
            <w:tcW w:w="660" w:type="dxa"/>
            <w:tcBorders>
              <w:top w:val="nil"/>
              <w:left w:val="nil"/>
              <w:bottom w:val="single" w:color="000000" w:sz="8" w:space="0"/>
              <w:right w:val="single" w:color="000000" w:sz="8" w:space="0"/>
            </w:tcBorders>
            <w:noWrap/>
            <w:vAlign w:val="center"/>
          </w:tcPr>
          <w:p w14:paraId="1AD9385F">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把</w:t>
            </w:r>
          </w:p>
        </w:tc>
        <w:tc>
          <w:tcPr>
            <w:tcW w:w="645" w:type="dxa"/>
            <w:tcBorders>
              <w:top w:val="nil"/>
              <w:left w:val="nil"/>
              <w:bottom w:val="single" w:color="000000" w:sz="8" w:space="0"/>
              <w:right w:val="single" w:color="000000" w:sz="8" w:space="0"/>
            </w:tcBorders>
            <w:noWrap/>
            <w:vAlign w:val="center"/>
          </w:tcPr>
          <w:p w14:paraId="09627621">
            <w:pPr>
              <w:widowControl/>
              <w:spacing w:line="440" w:lineRule="exact"/>
              <w:jc w:val="center"/>
              <w:textAlignment w:val="bottom"/>
              <w:rPr>
                <w:rFonts w:ascii="宋体" w:hAnsi="宋体" w:cs="宋体"/>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5C449996">
            <w:pPr>
              <w:widowControl/>
              <w:spacing w:line="440" w:lineRule="exact"/>
              <w:jc w:val="center"/>
              <w:textAlignment w:val="bottom"/>
              <w:rPr>
                <w:rFonts w:ascii="宋体" w:hAnsi="宋体" w:cs="宋体"/>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5A0BB02E">
            <w:pPr>
              <w:widowControl/>
              <w:spacing w:line="440" w:lineRule="exact"/>
              <w:jc w:val="center"/>
              <w:textAlignment w:val="bottom"/>
              <w:rPr>
                <w:rFonts w:ascii="宋体" w:hAnsi="宋体" w:cs="宋体"/>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3F3F22FB">
            <w:pPr>
              <w:widowControl/>
              <w:spacing w:line="440" w:lineRule="exact"/>
              <w:jc w:val="center"/>
              <w:textAlignment w:val="bottom"/>
              <w:rPr>
                <w:rFonts w:ascii="宋体" w:hAnsi="宋体" w:cs="宋体"/>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069D4E55">
            <w:pPr>
              <w:widowControl/>
              <w:spacing w:line="440" w:lineRule="exact"/>
              <w:jc w:val="center"/>
              <w:textAlignment w:val="bottom"/>
              <w:rPr>
                <w:rFonts w:ascii="宋体" w:hAnsi="宋体" w:cs="宋体"/>
                <w:color w:val="auto"/>
                <w:szCs w:val="21"/>
                <w:highlight w:val="none"/>
              </w:rPr>
            </w:pPr>
          </w:p>
        </w:tc>
      </w:tr>
      <w:tr w14:paraId="3A1BEACD">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36AF3B58">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14</w:t>
            </w:r>
          </w:p>
        </w:tc>
        <w:tc>
          <w:tcPr>
            <w:tcW w:w="1980" w:type="dxa"/>
            <w:tcBorders>
              <w:top w:val="nil"/>
              <w:left w:val="nil"/>
              <w:bottom w:val="single" w:color="000000" w:sz="8" w:space="0"/>
              <w:right w:val="single" w:color="000000" w:sz="8" w:space="0"/>
            </w:tcBorders>
            <w:noWrap/>
            <w:vAlign w:val="center"/>
          </w:tcPr>
          <w:p w14:paraId="0F3E409C">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小垃圾袋</w:t>
            </w:r>
          </w:p>
        </w:tc>
        <w:tc>
          <w:tcPr>
            <w:tcW w:w="660" w:type="dxa"/>
            <w:tcBorders>
              <w:top w:val="nil"/>
              <w:left w:val="nil"/>
              <w:bottom w:val="single" w:color="000000" w:sz="8" w:space="0"/>
              <w:right w:val="single" w:color="000000" w:sz="8" w:space="0"/>
            </w:tcBorders>
            <w:noWrap/>
            <w:vAlign w:val="center"/>
          </w:tcPr>
          <w:p w14:paraId="38E81AAF">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卷</w:t>
            </w:r>
          </w:p>
        </w:tc>
        <w:tc>
          <w:tcPr>
            <w:tcW w:w="645" w:type="dxa"/>
            <w:tcBorders>
              <w:top w:val="nil"/>
              <w:left w:val="nil"/>
              <w:bottom w:val="single" w:color="000000" w:sz="8" w:space="0"/>
              <w:right w:val="single" w:color="000000" w:sz="8" w:space="0"/>
            </w:tcBorders>
            <w:noWrap/>
            <w:vAlign w:val="center"/>
          </w:tcPr>
          <w:p w14:paraId="30637C78">
            <w:pPr>
              <w:widowControl/>
              <w:spacing w:line="440" w:lineRule="exact"/>
              <w:jc w:val="center"/>
              <w:textAlignment w:val="bottom"/>
              <w:rPr>
                <w:rFonts w:ascii="宋体" w:hAnsi="宋体" w:cs="宋体"/>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5C6AF6AC">
            <w:pPr>
              <w:widowControl/>
              <w:spacing w:line="440" w:lineRule="exact"/>
              <w:jc w:val="center"/>
              <w:textAlignment w:val="bottom"/>
              <w:rPr>
                <w:rFonts w:ascii="宋体" w:hAnsi="宋体" w:cs="宋体"/>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7C066702">
            <w:pPr>
              <w:widowControl/>
              <w:spacing w:line="440" w:lineRule="exact"/>
              <w:jc w:val="center"/>
              <w:textAlignment w:val="bottom"/>
              <w:rPr>
                <w:rFonts w:ascii="宋体" w:hAnsi="宋体" w:cs="宋体"/>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7D31AF92">
            <w:pPr>
              <w:widowControl/>
              <w:spacing w:line="440" w:lineRule="exact"/>
              <w:jc w:val="center"/>
              <w:textAlignment w:val="bottom"/>
              <w:rPr>
                <w:rFonts w:ascii="宋体" w:hAnsi="宋体" w:cs="宋体"/>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6CB16910">
            <w:pPr>
              <w:widowControl/>
              <w:spacing w:line="440" w:lineRule="exact"/>
              <w:jc w:val="center"/>
              <w:textAlignment w:val="bottom"/>
              <w:rPr>
                <w:rFonts w:ascii="宋体" w:hAnsi="宋体" w:cs="宋体"/>
                <w:color w:val="auto"/>
                <w:szCs w:val="21"/>
                <w:highlight w:val="none"/>
              </w:rPr>
            </w:pPr>
          </w:p>
        </w:tc>
      </w:tr>
      <w:tr w14:paraId="61C924EF">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73D23F66">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15</w:t>
            </w:r>
          </w:p>
        </w:tc>
        <w:tc>
          <w:tcPr>
            <w:tcW w:w="1980" w:type="dxa"/>
            <w:tcBorders>
              <w:top w:val="nil"/>
              <w:left w:val="nil"/>
              <w:bottom w:val="single" w:color="000000" w:sz="8" w:space="0"/>
              <w:right w:val="single" w:color="000000" w:sz="8" w:space="0"/>
            </w:tcBorders>
            <w:noWrap/>
            <w:vAlign w:val="center"/>
          </w:tcPr>
          <w:p w14:paraId="46B359FB">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洗衣粉</w:t>
            </w:r>
          </w:p>
        </w:tc>
        <w:tc>
          <w:tcPr>
            <w:tcW w:w="660" w:type="dxa"/>
            <w:tcBorders>
              <w:top w:val="nil"/>
              <w:left w:val="nil"/>
              <w:bottom w:val="single" w:color="000000" w:sz="8" w:space="0"/>
              <w:right w:val="single" w:color="000000" w:sz="8" w:space="0"/>
            </w:tcBorders>
            <w:noWrap/>
            <w:vAlign w:val="center"/>
          </w:tcPr>
          <w:p w14:paraId="2B063FA9">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袋</w:t>
            </w:r>
          </w:p>
        </w:tc>
        <w:tc>
          <w:tcPr>
            <w:tcW w:w="645" w:type="dxa"/>
            <w:tcBorders>
              <w:top w:val="nil"/>
              <w:left w:val="nil"/>
              <w:bottom w:val="single" w:color="000000" w:sz="8" w:space="0"/>
              <w:right w:val="single" w:color="000000" w:sz="8" w:space="0"/>
            </w:tcBorders>
            <w:noWrap/>
            <w:vAlign w:val="center"/>
          </w:tcPr>
          <w:p w14:paraId="0B595C7C">
            <w:pPr>
              <w:widowControl/>
              <w:spacing w:line="440" w:lineRule="exact"/>
              <w:jc w:val="center"/>
              <w:textAlignment w:val="bottom"/>
              <w:rPr>
                <w:rFonts w:ascii="宋体" w:hAnsi="宋体" w:cs="宋体"/>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347C3EFC">
            <w:pPr>
              <w:widowControl/>
              <w:spacing w:line="440" w:lineRule="exact"/>
              <w:jc w:val="center"/>
              <w:textAlignment w:val="bottom"/>
              <w:rPr>
                <w:rFonts w:ascii="宋体" w:hAnsi="宋体" w:cs="宋体"/>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36E4659F">
            <w:pPr>
              <w:widowControl/>
              <w:spacing w:line="440" w:lineRule="exact"/>
              <w:jc w:val="center"/>
              <w:textAlignment w:val="bottom"/>
              <w:rPr>
                <w:rFonts w:ascii="宋体" w:hAnsi="宋体" w:cs="宋体"/>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69BBF733">
            <w:pPr>
              <w:widowControl/>
              <w:spacing w:line="440" w:lineRule="exact"/>
              <w:jc w:val="center"/>
              <w:textAlignment w:val="bottom"/>
              <w:rPr>
                <w:rFonts w:ascii="宋体" w:hAnsi="宋体" w:cs="宋体"/>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1A3369A3">
            <w:pPr>
              <w:widowControl/>
              <w:spacing w:line="440" w:lineRule="exact"/>
              <w:jc w:val="center"/>
              <w:textAlignment w:val="bottom"/>
              <w:rPr>
                <w:rFonts w:ascii="宋体" w:hAnsi="宋体" w:cs="宋体"/>
                <w:color w:val="auto"/>
                <w:szCs w:val="21"/>
                <w:highlight w:val="none"/>
              </w:rPr>
            </w:pPr>
          </w:p>
        </w:tc>
      </w:tr>
      <w:tr w14:paraId="5ED6375B">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566BB4F5">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16</w:t>
            </w:r>
          </w:p>
        </w:tc>
        <w:tc>
          <w:tcPr>
            <w:tcW w:w="1980" w:type="dxa"/>
            <w:tcBorders>
              <w:top w:val="nil"/>
              <w:left w:val="nil"/>
              <w:bottom w:val="single" w:color="000000" w:sz="8" w:space="0"/>
              <w:right w:val="single" w:color="000000" w:sz="8" w:space="0"/>
            </w:tcBorders>
            <w:noWrap/>
            <w:vAlign w:val="center"/>
          </w:tcPr>
          <w:p w14:paraId="22A981E3">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毛巾</w:t>
            </w:r>
          </w:p>
        </w:tc>
        <w:tc>
          <w:tcPr>
            <w:tcW w:w="660" w:type="dxa"/>
            <w:tcBorders>
              <w:top w:val="nil"/>
              <w:left w:val="nil"/>
              <w:bottom w:val="single" w:color="000000" w:sz="8" w:space="0"/>
              <w:right w:val="single" w:color="000000" w:sz="8" w:space="0"/>
            </w:tcBorders>
            <w:noWrap/>
            <w:vAlign w:val="center"/>
          </w:tcPr>
          <w:p w14:paraId="6131B2E4">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条</w:t>
            </w:r>
          </w:p>
        </w:tc>
        <w:tc>
          <w:tcPr>
            <w:tcW w:w="645" w:type="dxa"/>
            <w:tcBorders>
              <w:top w:val="nil"/>
              <w:left w:val="nil"/>
              <w:bottom w:val="single" w:color="000000" w:sz="8" w:space="0"/>
              <w:right w:val="single" w:color="000000" w:sz="8" w:space="0"/>
            </w:tcBorders>
            <w:noWrap/>
            <w:vAlign w:val="center"/>
          </w:tcPr>
          <w:p w14:paraId="4531465F">
            <w:pPr>
              <w:widowControl/>
              <w:spacing w:line="440" w:lineRule="exact"/>
              <w:jc w:val="center"/>
              <w:textAlignment w:val="bottom"/>
              <w:rPr>
                <w:rFonts w:ascii="宋体" w:hAnsi="宋体" w:cs="宋体"/>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30D7A337">
            <w:pPr>
              <w:widowControl/>
              <w:spacing w:line="440" w:lineRule="exact"/>
              <w:jc w:val="center"/>
              <w:textAlignment w:val="bottom"/>
              <w:rPr>
                <w:rFonts w:ascii="宋体" w:hAnsi="宋体" w:cs="宋体"/>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01B1ED75">
            <w:pPr>
              <w:widowControl/>
              <w:spacing w:line="440" w:lineRule="exact"/>
              <w:jc w:val="center"/>
              <w:textAlignment w:val="bottom"/>
              <w:rPr>
                <w:rFonts w:ascii="宋体" w:hAnsi="宋体" w:cs="宋体"/>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5AD63AA3">
            <w:pPr>
              <w:widowControl/>
              <w:spacing w:line="440" w:lineRule="exact"/>
              <w:jc w:val="center"/>
              <w:textAlignment w:val="bottom"/>
              <w:rPr>
                <w:rFonts w:ascii="宋体" w:hAnsi="宋体" w:cs="宋体"/>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0CA2AAF9">
            <w:pPr>
              <w:widowControl/>
              <w:spacing w:line="440" w:lineRule="exact"/>
              <w:jc w:val="center"/>
              <w:textAlignment w:val="bottom"/>
              <w:rPr>
                <w:rFonts w:ascii="宋体" w:hAnsi="宋体" w:cs="宋体"/>
                <w:color w:val="auto"/>
                <w:szCs w:val="21"/>
                <w:highlight w:val="none"/>
              </w:rPr>
            </w:pPr>
          </w:p>
        </w:tc>
      </w:tr>
      <w:tr w14:paraId="599DB7CB">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276796DA">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17</w:t>
            </w:r>
          </w:p>
        </w:tc>
        <w:tc>
          <w:tcPr>
            <w:tcW w:w="1980" w:type="dxa"/>
            <w:tcBorders>
              <w:top w:val="nil"/>
              <w:left w:val="nil"/>
              <w:bottom w:val="single" w:color="000000" w:sz="8" w:space="0"/>
              <w:right w:val="single" w:color="000000" w:sz="8" w:space="0"/>
            </w:tcBorders>
            <w:noWrap/>
            <w:vAlign w:val="center"/>
          </w:tcPr>
          <w:p w14:paraId="2491864B">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吸水拖把</w:t>
            </w:r>
          </w:p>
        </w:tc>
        <w:tc>
          <w:tcPr>
            <w:tcW w:w="660" w:type="dxa"/>
            <w:tcBorders>
              <w:top w:val="nil"/>
              <w:left w:val="nil"/>
              <w:bottom w:val="single" w:color="000000" w:sz="8" w:space="0"/>
              <w:right w:val="single" w:color="000000" w:sz="8" w:space="0"/>
            </w:tcBorders>
            <w:noWrap/>
            <w:vAlign w:val="center"/>
          </w:tcPr>
          <w:p w14:paraId="456AABB2">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645" w:type="dxa"/>
            <w:tcBorders>
              <w:top w:val="nil"/>
              <w:left w:val="nil"/>
              <w:bottom w:val="single" w:color="000000" w:sz="8" w:space="0"/>
              <w:right w:val="single" w:color="000000" w:sz="8" w:space="0"/>
            </w:tcBorders>
            <w:noWrap/>
            <w:vAlign w:val="center"/>
          </w:tcPr>
          <w:p w14:paraId="1B130715">
            <w:pPr>
              <w:widowControl/>
              <w:spacing w:line="440" w:lineRule="exact"/>
              <w:jc w:val="center"/>
              <w:textAlignment w:val="bottom"/>
              <w:rPr>
                <w:rFonts w:ascii="宋体" w:hAnsi="宋体" w:cs="宋体"/>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31A5A2BC">
            <w:pPr>
              <w:widowControl/>
              <w:spacing w:line="440" w:lineRule="exact"/>
              <w:jc w:val="center"/>
              <w:textAlignment w:val="bottom"/>
              <w:rPr>
                <w:rFonts w:ascii="宋体" w:hAnsi="宋体" w:cs="宋体"/>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55DFEE80">
            <w:pPr>
              <w:widowControl/>
              <w:spacing w:line="440" w:lineRule="exact"/>
              <w:jc w:val="center"/>
              <w:textAlignment w:val="bottom"/>
              <w:rPr>
                <w:rFonts w:ascii="宋体" w:hAnsi="宋体" w:cs="宋体"/>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5AA73342">
            <w:pPr>
              <w:widowControl/>
              <w:spacing w:line="440" w:lineRule="exact"/>
              <w:jc w:val="center"/>
              <w:textAlignment w:val="bottom"/>
              <w:rPr>
                <w:rFonts w:ascii="宋体" w:hAnsi="宋体" w:cs="宋体"/>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7AE5BF5C">
            <w:pPr>
              <w:widowControl/>
              <w:spacing w:line="440" w:lineRule="exact"/>
              <w:jc w:val="center"/>
              <w:textAlignment w:val="bottom"/>
              <w:rPr>
                <w:rFonts w:ascii="宋体" w:hAnsi="宋体" w:cs="宋体"/>
                <w:color w:val="auto"/>
                <w:szCs w:val="21"/>
                <w:highlight w:val="none"/>
              </w:rPr>
            </w:pPr>
          </w:p>
        </w:tc>
      </w:tr>
      <w:tr w14:paraId="3B27D126">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12D19549">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18</w:t>
            </w:r>
          </w:p>
        </w:tc>
        <w:tc>
          <w:tcPr>
            <w:tcW w:w="1980" w:type="dxa"/>
            <w:tcBorders>
              <w:top w:val="nil"/>
              <w:left w:val="nil"/>
              <w:bottom w:val="single" w:color="000000" w:sz="8" w:space="0"/>
              <w:right w:val="single" w:color="000000" w:sz="8" w:space="0"/>
            </w:tcBorders>
            <w:noWrap/>
            <w:vAlign w:val="center"/>
          </w:tcPr>
          <w:p w14:paraId="742AE746">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橡胶手套</w:t>
            </w:r>
          </w:p>
        </w:tc>
        <w:tc>
          <w:tcPr>
            <w:tcW w:w="660" w:type="dxa"/>
            <w:tcBorders>
              <w:top w:val="nil"/>
              <w:left w:val="nil"/>
              <w:bottom w:val="single" w:color="000000" w:sz="8" w:space="0"/>
              <w:right w:val="single" w:color="000000" w:sz="8" w:space="0"/>
            </w:tcBorders>
            <w:noWrap/>
            <w:vAlign w:val="center"/>
          </w:tcPr>
          <w:p w14:paraId="6040ED50">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双</w:t>
            </w:r>
          </w:p>
        </w:tc>
        <w:tc>
          <w:tcPr>
            <w:tcW w:w="645" w:type="dxa"/>
            <w:tcBorders>
              <w:top w:val="nil"/>
              <w:left w:val="nil"/>
              <w:bottom w:val="single" w:color="000000" w:sz="8" w:space="0"/>
              <w:right w:val="single" w:color="000000" w:sz="8" w:space="0"/>
            </w:tcBorders>
            <w:noWrap/>
            <w:vAlign w:val="center"/>
          </w:tcPr>
          <w:p w14:paraId="7F6BD6B2">
            <w:pPr>
              <w:widowControl/>
              <w:spacing w:line="440" w:lineRule="exact"/>
              <w:jc w:val="center"/>
              <w:textAlignment w:val="bottom"/>
              <w:rPr>
                <w:rFonts w:ascii="宋体" w:hAnsi="宋体" w:cs="宋体"/>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67B890F7">
            <w:pPr>
              <w:widowControl/>
              <w:spacing w:line="440" w:lineRule="exact"/>
              <w:jc w:val="center"/>
              <w:textAlignment w:val="bottom"/>
              <w:rPr>
                <w:rFonts w:ascii="宋体" w:hAnsi="宋体" w:cs="宋体"/>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31957948">
            <w:pPr>
              <w:widowControl/>
              <w:spacing w:line="440" w:lineRule="exact"/>
              <w:jc w:val="center"/>
              <w:textAlignment w:val="bottom"/>
              <w:rPr>
                <w:rFonts w:ascii="宋体" w:hAnsi="宋体" w:cs="宋体"/>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347DD320">
            <w:pPr>
              <w:widowControl/>
              <w:spacing w:line="440" w:lineRule="exact"/>
              <w:jc w:val="center"/>
              <w:textAlignment w:val="bottom"/>
              <w:rPr>
                <w:rFonts w:ascii="宋体" w:hAnsi="宋体" w:cs="宋体"/>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213401F6">
            <w:pPr>
              <w:widowControl/>
              <w:spacing w:line="440" w:lineRule="exact"/>
              <w:jc w:val="center"/>
              <w:textAlignment w:val="bottom"/>
              <w:rPr>
                <w:rFonts w:ascii="宋体" w:hAnsi="宋体" w:cs="宋体"/>
                <w:color w:val="auto"/>
                <w:szCs w:val="21"/>
                <w:highlight w:val="none"/>
              </w:rPr>
            </w:pPr>
          </w:p>
        </w:tc>
      </w:tr>
      <w:tr w14:paraId="72B90235">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17693E51">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19</w:t>
            </w:r>
          </w:p>
        </w:tc>
        <w:tc>
          <w:tcPr>
            <w:tcW w:w="1980" w:type="dxa"/>
            <w:tcBorders>
              <w:top w:val="nil"/>
              <w:left w:val="nil"/>
              <w:bottom w:val="single" w:color="000000" w:sz="8" w:space="0"/>
              <w:right w:val="single" w:color="000000" w:sz="8" w:space="0"/>
            </w:tcBorders>
            <w:noWrap/>
            <w:vAlign w:val="center"/>
          </w:tcPr>
          <w:p w14:paraId="70C1376E">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钢丝球</w:t>
            </w:r>
          </w:p>
        </w:tc>
        <w:tc>
          <w:tcPr>
            <w:tcW w:w="660" w:type="dxa"/>
            <w:tcBorders>
              <w:top w:val="nil"/>
              <w:left w:val="nil"/>
              <w:bottom w:val="single" w:color="000000" w:sz="8" w:space="0"/>
              <w:right w:val="single" w:color="000000" w:sz="8" w:space="0"/>
            </w:tcBorders>
            <w:noWrap/>
            <w:vAlign w:val="center"/>
          </w:tcPr>
          <w:p w14:paraId="0DF6112C">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645" w:type="dxa"/>
            <w:tcBorders>
              <w:top w:val="nil"/>
              <w:left w:val="nil"/>
              <w:bottom w:val="single" w:color="000000" w:sz="8" w:space="0"/>
              <w:right w:val="single" w:color="000000" w:sz="8" w:space="0"/>
            </w:tcBorders>
            <w:noWrap/>
            <w:vAlign w:val="center"/>
          </w:tcPr>
          <w:p w14:paraId="50F419DA">
            <w:pPr>
              <w:widowControl/>
              <w:spacing w:line="440" w:lineRule="exact"/>
              <w:jc w:val="center"/>
              <w:textAlignment w:val="bottom"/>
              <w:rPr>
                <w:rFonts w:ascii="宋体" w:hAnsi="宋体" w:cs="宋体"/>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2E12C252">
            <w:pPr>
              <w:widowControl/>
              <w:spacing w:line="440" w:lineRule="exact"/>
              <w:jc w:val="center"/>
              <w:textAlignment w:val="bottom"/>
              <w:rPr>
                <w:rFonts w:ascii="宋体" w:hAnsi="宋体" w:cs="宋体"/>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41791FD6">
            <w:pPr>
              <w:widowControl/>
              <w:spacing w:line="440" w:lineRule="exact"/>
              <w:jc w:val="center"/>
              <w:textAlignment w:val="bottom"/>
              <w:rPr>
                <w:rFonts w:ascii="宋体" w:hAnsi="宋体" w:cs="宋体"/>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7FC8FC3E">
            <w:pPr>
              <w:widowControl/>
              <w:spacing w:line="440" w:lineRule="exact"/>
              <w:jc w:val="center"/>
              <w:textAlignment w:val="bottom"/>
              <w:rPr>
                <w:rFonts w:ascii="宋体" w:hAnsi="宋体" w:cs="宋体"/>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1991E3C8">
            <w:pPr>
              <w:widowControl/>
              <w:spacing w:line="440" w:lineRule="exact"/>
              <w:jc w:val="center"/>
              <w:textAlignment w:val="bottom"/>
              <w:rPr>
                <w:rFonts w:ascii="宋体" w:hAnsi="宋体" w:cs="宋体"/>
                <w:color w:val="auto"/>
                <w:szCs w:val="21"/>
                <w:highlight w:val="none"/>
              </w:rPr>
            </w:pPr>
          </w:p>
        </w:tc>
      </w:tr>
      <w:tr w14:paraId="55ED7CD0">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552423C9">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20</w:t>
            </w:r>
          </w:p>
        </w:tc>
        <w:tc>
          <w:tcPr>
            <w:tcW w:w="1980" w:type="dxa"/>
            <w:tcBorders>
              <w:top w:val="nil"/>
              <w:left w:val="nil"/>
              <w:bottom w:val="single" w:color="000000" w:sz="8" w:space="0"/>
              <w:right w:val="single" w:color="000000" w:sz="8" w:space="0"/>
            </w:tcBorders>
            <w:noWrap/>
            <w:vAlign w:val="center"/>
          </w:tcPr>
          <w:p w14:paraId="75BFF49A">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檀香</w:t>
            </w:r>
          </w:p>
        </w:tc>
        <w:tc>
          <w:tcPr>
            <w:tcW w:w="660" w:type="dxa"/>
            <w:tcBorders>
              <w:top w:val="nil"/>
              <w:left w:val="nil"/>
              <w:bottom w:val="single" w:color="000000" w:sz="8" w:space="0"/>
              <w:right w:val="single" w:color="000000" w:sz="8" w:space="0"/>
            </w:tcBorders>
            <w:noWrap/>
            <w:vAlign w:val="center"/>
          </w:tcPr>
          <w:p w14:paraId="2A2B64A6">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盒</w:t>
            </w:r>
          </w:p>
        </w:tc>
        <w:tc>
          <w:tcPr>
            <w:tcW w:w="645" w:type="dxa"/>
            <w:tcBorders>
              <w:top w:val="nil"/>
              <w:left w:val="nil"/>
              <w:bottom w:val="single" w:color="000000" w:sz="8" w:space="0"/>
              <w:right w:val="single" w:color="000000" w:sz="8" w:space="0"/>
            </w:tcBorders>
            <w:noWrap/>
            <w:vAlign w:val="center"/>
          </w:tcPr>
          <w:p w14:paraId="2544C238">
            <w:pPr>
              <w:widowControl/>
              <w:spacing w:line="440" w:lineRule="exact"/>
              <w:jc w:val="center"/>
              <w:textAlignment w:val="bottom"/>
              <w:rPr>
                <w:rFonts w:ascii="宋体" w:hAnsi="宋体" w:cs="宋体"/>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43B5A2D6">
            <w:pPr>
              <w:widowControl/>
              <w:spacing w:line="440" w:lineRule="exact"/>
              <w:jc w:val="center"/>
              <w:textAlignment w:val="bottom"/>
              <w:rPr>
                <w:rFonts w:ascii="宋体" w:hAnsi="宋体" w:cs="宋体"/>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1CAAA34B">
            <w:pPr>
              <w:widowControl/>
              <w:spacing w:line="440" w:lineRule="exact"/>
              <w:jc w:val="center"/>
              <w:textAlignment w:val="bottom"/>
              <w:rPr>
                <w:rFonts w:ascii="宋体" w:hAnsi="宋体" w:cs="宋体"/>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382D6E94">
            <w:pPr>
              <w:widowControl/>
              <w:spacing w:line="440" w:lineRule="exact"/>
              <w:jc w:val="center"/>
              <w:textAlignment w:val="bottom"/>
              <w:rPr>
                <w:rFonts w:ascii="宋体" w:hAnsi="宋体" w:cs="宋体"/>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44342F53">
            <w:pPr>
              <w:widowControl/>
              <w:spacing w:line="440" w:lineRule="exact"/>
              <w:jc w:val="center"/>
              <w:textAlignment w:val="bottom"/>
              <w:rPr>
                <w:rFonts w:ascii="宋体" w:hAnsi="宋体" w:cs="宋体"/>
                <w:color w:val="auto"/>
                <w:szCs w:val="21"/>
                <w:highlight w:val="none"/>
              </w:rPr>
            </w:pPr>
          </w:p>
        </w:tc>
      </w:tr>
      <w:tr w14:paraId="4C914015">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71A6647C">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21</w:t>
            </w:r>
          </w:p>
        </w:tc>
        <w:tc>
          <w:tcPr>
            <w:tcW w:w="1980" w:type="dxa"/>
            <w:tcBorders>
              <w:top w:val="nil"/>
              <w:left w:val="nil"/>
              <w:bottom w:val="single" w:color="000000" w:sz="8" w:space="0"/>
              <w:right w:val="single" w:color="000000" w:sz="8" w:space="0"/>
            </w:tcBorders>
            <w:noWrap/>
            <w:vAlign w:val="center"/>
          </w:tcPr>
          <w:p w14:paraId="6C9DA5AC">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洁厕剂</w:t>
            </w:r>
          </w:p>
        </w:tc>
        <w:tc>
          <w:tcPr>
            <w:tcW w:w="660" w:type="dxa"/>
            <w:tcBorders>
              <w:top w:val="nil"/>
              <w:left w:val="nil"/>
              <w:bottom w:val="single" w:color="000000" w:sz="8" w:space="0"/>
              <w:right w:val="single" w:color="000000" w:sz="8" w:space="0"/>
            </w:tcBorders>
            <w:noWrap/>
            <w:vAlign w:val="center"/>
          </w:tcPr>
          <w:p w14:paraId="7AF33CEF">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瓶</w:t>
            </w:r>
          </w:p>
        </w:tc>
        <w:tc>
          <w:tcPr>
            <w:tcW w:w="645" w:type="dxa"/>
            <w:tcBorders>
              <w:top w:val="nil"/>
              <w:left w:val="nil"/>
              <w:bottom w:val="single" w:color="000000" w:sz="8" w:space="0"/>
              <w:right w:val="single" w:color="000000" w:sz="8" w:space="0"/>
            </w:tcBorders>
            <w:noWrap/>
            <w:vAlign w:val="center"/>
          </w:tcPr>
          <w:p w14:paraId="77F99668">
            <w:pPr>
              <w:widowControl/>
              <w:spacing w:line="440" w:lineRule="exact"/>
              <w:jc w:val="center"/>
              <w:textAlignment w:val="bottom"/>
              <w:rPr>
                <w:rFonts w:ascii="宋体" w:hAnsi="宋体" w:cs="宋体"/>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34E1BFD4">
            <w:pPr>
              <w:widowControl/>
              <w:spacing w:line="440" w:lineRule="exact"/>
              <w:jc w:val="center"/>
              <w:textAlignment w:val="bottom"/>
              <w:rPr>
                <w:rFonts w:ascii="宋体" w:hAnsi="宋体" w:cs="宋体"/>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07D1572B">
            <w:pPr>
              <w:widowControl/>
              <w:spacing w:line="440" w:lineRule="exact"/>
              <w:jc w:val="center"/>
              <w:textAlignment w:val="bottom"/>
              <w:rPr>
                <w:rFonts w:ascii="宋体" w:hAnsi="宋体" w:cs="宋体"/>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02773701">
            <w:pPr>
              <w:widowControl/>
              <w:spacing w:line="440" w:lineRule="exact"/>
              <w:jc w:val="center"/>
              <w:textAlignment w:val="bottom"/>
              <w:rPr>
                <w:rFonts w:ascii="宋体" w:hAnsi="宋体" w:cs="宋体"/>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6CF37675">
            <w:pPr>
              <w:widowControl/>
              <w:spacing w:line="440" w:lineRule="exact"/>
              <w:jc w:val="center"/>
              <w:textAlignment w:val="bottom"/>
              <w:rPr>
                <w:rFonts w:ascii="宋体" w:hAnsi="宋体" w:cs="宋体"/>
                <w:color w:val="auto"/>
                <w:szCs w:val="21"/>
                <w:highlight w:val="none"/>
              </w:rPr>
            </w:pPr>
          </w:p>
        </w:tc>
      </w:tr>
      <w:tr w14:paraId="04E53EA0">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2F449CB2">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22</w:t>
            </w:r>
          </w:p>
        </w:tc>
        <w:tc>
          <w:tcPr>
            <w:tcW w:w="1980" w:type="dxa"/>
            <w:tcBorders>
              <w:top w:val="nil"/>
              <w:left w:val="nil"/>
              <w:bottom w:val="single" w:color="000000" w:sz="8" w:space="0"/>
              <w:right w:val="single" w:color="000000" w:sz="8" w:space="0"/>
            </w:tcBorders>
            <w:noWrap/>
            <w:vAlign w:val="center"/>
          </w:tcPr>
          <w:p w14:paraId="1C2DD40F">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中性全能清洁剂</w:t>
            </w:r>
          </w:p>
        </w:tc>
        <w:tc>
          <w:tcPr>
            <w:tcW w:w="660" w:type="dxa"/>
            <w:tcBorders>
              <w:top w:val="nil"/>
              <w:left w:val="nil"/>
              <w:bottom w:val="single" w:color="000000" w:sz="8" w:space="0"/>
              <w:right w:val="single" w:color="000000" w:sz="8" w:space="0"/>
            </w:tcBorders>
            <w:noWrap/>
            <w:vAlign w:val="center"/>
          </w:tcPr>
          <w:p w14:paraId="7902FBAC">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瓶</w:t>
            </w:r>
          </w:p>
        </w:tc>
        <w:tc>
          <w:tcPr>
            <w:tcW w:w="645" w:type="dxa"/>
            <w:tcBorders>
              <w:top w:val="nil"/>
              <w:left w:val="nil"/>
              <w:bottom w:val="single" w:color="000000" w:sz="8" w:space="0"/>
              <w:right w:val="single" w:color="000000" w:sz="8" w:space="0"/>
            </w:tcBorders>
            <w:noWrap/>
            <w:vAlign w:val="center"/>
          </w:tcPr>
          <w:p w14:paraId="164B0AAF">
            <w:pPr>
              <w:widowControl/>
              <w:spacing w:line="440" w:lineRule="exact"/>
              <w:jc w:val="center"/>
              <w:textAlignment w:val="bottom"/>
              <w:rPr>
                <w:rFonts w:ascii="宋体" w:hAnsi="宋体" w:cs="宋体"/>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2CC749D0">
            <w:pPr>
              <w:widowControl/>
              <w:spacing w:line="440" w:lineRule="exact"/>
              <w:jc w:val="center"/>
              <w:textAlignment w:val="bottom"/>
              <w:rPr>
                <w:rFonts w:ascii="宋体" w:hAnsi="宋体" w:cs="宋体"/>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0A552A7D">
            <w:pPr>
              <w:widowControl/>
              <w:spacing w:line="440" w:lineRule="exact"/>
              <w:jc w:val="center"/>
              <w:textAlignment w:val="bottom"/>
              <w:rPr>
                <w:rFonts w:ascii="宋体" w:hAnsi="宋体" w:cs="宋体"/>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187F2AA5">
            <w:pPr>
              <w:widowControl/>
              <w:spacing w:line="440" w:lineRule="exact"/>
              <w:jc w:val="center"/>
              <w:textAlignment w:val="bottom"/>
              <w:rPr>
                <w:rFonts w:ascii="宋体" w:hAnsi="宋体" w:cs="宋体"/>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08F1CD0F">
            <w:pPr>
              <w:widowControl/>
              <w:spacing w:line="440" w:lineRule="exact"/>
              <w:jc w:val="center"/>
              <w:textAlignment w:val="bottom"/>
              <w:rPr>
                <w:rFonts w:ascii="宋体" w:hAnsi="宋体" w:cs="宋体"/>
                <w:color w:val="auto"/>
                <w:szCs w:val="21"/>
                <w:highlight w:val="none"/>
              </w:rPr>
            </w:pPr>
          </w:p>
        </w:tc>
      </w:tr>
      <w:tr w14:paraId="3C76D8EC">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52FD4AD6">
            <w:pPr>
              <w:spacing w:line="440" w:lineRule="exact"/>
              <w:jc w:val="center"/>
              <w:rPr>
                <w:rFonts w:ascii="宋体" w:hAnsi="宋体" w:cs="宋体"/>
                <w:color w:val="auto"/>
                <w:szCs w:val="21"/>
                <w:highlight w:val="none"/>
              </w:rPr>
            </w:pPr>
            <w:r>
              <w:rPr>
                <w:rFonts w:hint="eastAsia" w:ascii="宋体" w:hAnsi="宋体" w:cs="宋体"/>
                <w:color w:val="auto"/>
                <w:szCs w:val="21"/>
                <w:highlight w:val="none"/>
              </w:rPr>
              <w:t>23</w:t>
            </w:r>
          </w:p>
        </w:tc>
        <w:tc>
          <w:tcPr>
            <w:tcW w:w="1980" w:type="dxa"/>
            <w:tcBorders>
              <w:top w:val="nil"/>
              <w:left w:val="nil"/>
              <w:bottom w:val="single" w:color="000000" w:sz="8" w:space="0"/>
              <w:right w:val="single" w:color="000000" w:sz="8" w:space="0"/>
            </w:tcBorders>
            <w:noWrap/>
            <w:vAlign w:val="center"/>
          </w:tcPr>
          <w:p w14:paraId="56C24776">
            <w:pPr>
              <w:widowControl/>
              <w:spacing w:line="440" w:lineRule="exact"/>
              <w:jc w:val="center"/>
              <w:textAlignment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w:t>
            </w:r>
          </w:p>
        </w:tc>
        <w:tc>
          <w:tcPr>
            <w:tcW w:w="660" w:type="dxa"/>
            <w:tcBorders>
              <w:top w:val="nil"/>
              <w:left w:val="nil"/>
              <w:bottom w:val="single" w:color="000000" w:sz="8" w:space="0"/>
              <w:right w:val="single" w:color="000000" w:sz="8" w:space="0"/>
            </w:tcBorders>
            <w:noWrap/>
            <w:vAlign w:val="center"/>
          </w:tcPr>
          <w:p w14:paraId="107BFE18">
            <w:pPr>
              <w:spacing w:line="440" w:lineRule="exact"/>
              <w:jc w:val="center"/>
              <w:rPr>
                <w:rFonts w:ascii="宋体" w:hAnsi="宋体" w:cs="宋体"/>
                <w:b/>
                <w:bCs/>
                <w:color w:val="auto"/>
                <w:szCs w:val="21"/>
                <w:highlight w:val="none"/>
              </w:rPr>
            </w:pPr>
          </w:p>
        </w:tc>
        <w:tc>
          <w:tcPr>
            <w:tcW w:w="645" w:type="dxa"/>
            <w:tcBorders>
              <w:top w:val="nil"/>
              <w:left w:val="nil"/>
              <w:bottom w:val="single" w:color="000000" w:sz="8" w:space="0"/>
              <w:right w:val="single" w:color="000000" w:sz="8" w:space="0"/>
            </w:tcBorders>
            <w:noWrap/>
            <w:vAlign w:val="center"/>
          </w:tcPr>
          <w:p w14:paraId="6AF6D9CF">
            <w:pPr>
              <w:spacing w:line="440" w:lineRule="exact"/>
              <w:jc w:val="center"/>
              <w:rPr>
                <w:rFonts w:ascii="宋体" w:hAnsi="宋体" w:cs="宋体"/>
                <w:b/>
                <w:bCs/>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4E3F016B">
            <w:pPr>
              <w:spacing w:line="440" w:lineRule="exact"/>
              <w:jc w:val="center"/>
              <w:rPr>
                <w:rFonts w:ascii="宋体" w:hAnsi="宋体" w:cs="宋体"/>
                <w:b/>
                <w:bCs/>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2D67DE7C">
            <w:pPr>
              <w:spacing w:line="440" w:lineRule="exact"/>
              <w:jc w:val="center"/>
              <w:rPr>
                <w:rFonts w:ascii="宋体" w:hAnsi="宋体" w:cs="宋体"/>
                <w:b/>
                <w:bCs/>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632FF6AA">
            <w:pPr>
              <w:spacing w:line="440" w:lineRule="exact"/>
              <w:jc w:val="center"/>
              <w:rPr>
                <w:rFonts w:ascii="宋体" w:hAnsi="宋体" w:cs="宋体"/>
                <w:b/>
                <w:bCs/>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2AF75FD6">
            <w:pPr>
              <w:widowControl/>
              <w:spacing w:line="440" w:lineRule="exact"/>
              <w:jc w:val="center"/>
              <w:textAlignment w:val="bottom"/>
              <w:rPr>
                <w:rFonts w:ascii="宋体" w:hAnsi="宋体" w:cs="宋体"/>
                <w:b/>
                <w:bCs/>
                <w:color w:val="auto"/>
                <w:kern w:val="0"/>
                <w:szCs w:val="21"/>
                <w:highlight w:val="none"/>
              </w:rPr>
            </w:pPr>
          </w:p>
        </w:tc>
      </w:tr>
      <w:tr w14:paraId="7B9BC502">
        <w:tblPrEx>
          <w:tblCellMar>
            <w:top w:w="0" w:type="dxa"/>
            <w:left w:w="108" w:type="dxa"/>
            <w:bottom w:w="0" w:type="dxa"/>
            <w:right w:w="108" w:type="dxa"/>
          </w:tblCellMar>
        </w:tblPrEx>
        <w:trPr>
          <w:trHeight w:val="300" w:hRule="atLeast"/>
          <w:jc w:val="center"/>
        </w:trPr>
        <w:tc>
          <w:tcPr>
            <w:tcW w:w="900" w:type="dxa"/>
            <w:tcBorders>
              <w:top w:val="nil"/>
              <w:left w:val="single" w:color="000000" w:sz="8" w:space="0"/>
              <w:bottom w:val="single" w:color="000000" w:sz="8" w:space="0"/>
              <w:right w:val="single" w:color="000000" w:sz="8" w:space="0"/>
            </w:tcBorders>
            <w:noWrap/>
            <w:vAlign w:val="center"/>
          </w:tcPr>
          <w:p w14:paraId="4C13B4A4">
            <w:pPr>
              <w:spacing w:line="440" w:lineRule="exact"/>
              <w:jc w:val="center"/>
              <w:rPr>
                <w:rFonts w:ascii="宋体" w:hAnsi="宋体" w:cs="宋体"/>
                <w:color w:val="auto"/>
                <w:szCs w:val="21"/>
                <w:highlight w:val="none"/>
              </w:rPr>
            </w:pPr>
          </w:p>
        </w:tc>
        <w:tc>
          <w:tcPr>
            <w:tcW w:w="1980" w:type="dxa"/>
            <w:tcBorders>
              <w:top w:val="nil"/>
              <w:left w:val="nil"/>
              <w:bottom w:val="single" w:color="000000" w:sz="8" w:space="0"/>
              <w:right w:val="single" w:color="000000" w:sz="8" w:space="0"/>
            </w:tcBorders>
            <w:noWrap/>
            <w:vAlign w:val="center"/>
          </w:tcPr>
          <w:p w14:paraId="54742303">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合计</w:t>
            </w:r>
          </w:p>
        </w:tc>
        <w:tc>
          <w:tcPr>
            <w:tcW w:w="660" w:type="dxa"/>
            <w:tcBorders>
              <w:top w:val="nil"/>
              <w:left w:val="nil"/>
              <w:bottom w:val="single" w:color="000000" w:sz="8" w:space="0"/>
              <w:right w:val="single" w:color="000000" w:sz="8" w:space="0"/>
            </w:tcBorders>
            <w:noWrap/>
            <w:vAlign w:val="center"/>
          </w:tcPr>
          <w:p w14:paraId="5DD53E14">
            <w:pPr>
              <w:spacing w:line="440" w:lineRule="exact"/>
              <w:jc w:val="center"/>
              <w:rPr>
                <w:rFonts w:ascii="宋体" w:hAnsi="宋体" w:cs="宋体"/>
                <w:b/>
                <w:bCs/>
                <w:color w:val="auto"/>
                <w:szCs w:val="21"/>
                <w:highlight w:val="none"/>
              </w:rPr>
            </w:pPr>
          </w:p>
        </w:tc>
        <w:tc>
          <w:tcPr>
            <w:tcW w:w="645" w:type="dxa"/>
            <w:tcBorders>
              <w:top w:val="nil"/>
              <w:left w:val="nil"/>
              <w:bottom w:val="single" w:color="000000" w:sz="8" w:space="0"/>
              <w:right w:val="single" w:color="000000" w:sz="8" w:space="0"/>
            </w:tcBorders>
            <w:noWrap/>
            <w:vAlign w:val="center"/>
          </w:tcPr>
          <w:p w14:paraId="12D0DC1E">
            <w:pPr>
              <w:spacing w:line="440" w:lineRule="exact"/>
              <w:jc w:val="center"/>
              <w:rPr>
                <w:rFonts w:ascii="宋体" w:hAnsi="宋体" w:cs="宋体"/>
                <w:b/>
                <w:bCs/>
                <w:color w:val="auto"/>
                <w:szCs w:val="21"/>
                <w:highlight w:val="none"/>
              </w:rPr>
            </w:pPr>
          </w:p>
        </w:tc>
        <w:tc>
          <w:tcPr>
            <w:tcW w:w="1125" w:type="dxa"/>
            <w:tcBorders>
              <w:top w:val="nil"/>
              <w:left w:val="nil"/>
              <w:bottom w:val="single" w:color="000000" w:sz="8" w:space="0"/>
              <w:right w:val="single" w:color="000000" w:sz="8" w:space="0"/>
            </w:tcBorders>
            <w:noWrap/>
            <w:vAlign w:val="center"/>
          </w:tcPr>
          <w:p w14:paraId="3AF93CAF">
            <w:pPr>
              <w:spacing w:line="440" w:lineRule="exact"/>
              <w:jc w:val="center"/>
              <w:rPr>
                <w:rFonts w:ascii="宋体" w:hAnsi="宋体" w:cs="宋体"/>
                <w:b/>
                <w:bCs/>
                <w:color w:val="auto"/>
                <w:szCs w:val="21"/>
                <w:highlight w:val="none"/>
              </w:rPr>
            </w:pPr>
          </w:p>
        </w:tc>
        <w:tc>
          <w:tcPr>
            <w:tcW w:w="1215" w:type="dxa"/>
            <w:tcBorders>
              <w:top w:val="nil"/>
              <w:left w:val="nil"/>
              <w:bottom w:val="single" w:color="000000" w:sz="8" w:space="0"/>
              <w:right w:val="single" w:color="000000" w:sz="8" w:space="0"/>
            </w:tcBorders>
            <w:noWrap/>
            <w:vAlign w:val="center"/>
          </w:tcPr>
          <w:p w14:paraId="66444466">
            <w:pPr>
              <w:spacing w:line="440" w:lineRule="exact"/>
              <w:jc w:val="center"/>
              <w:rPr>
                <w:rFonts w:ascii="宋体" w:hAnsi="宋体" w:cs="宋体"/>
                <w:b/>
                <w:bCs/>
                <w:color w:val="auto"/>
                <w:szCs w:val="21"/>
                <w:highlight w:val="none"/>
              </w:rPr>
            </w:pPr>
          </w:p>
        </w:tc>
        <w:tc>
          <w:tcPr>
            <w:tcW w:w="990" w:type="dxa"/>
            <w:tcBorders>
              <w:top w:val="nil"/>
              <w:left w:val="nil"/>
              <w:bottom w:val="single" w:color="000000" w:sz="8" w:space="0"/>
              <w:right w:val="single" w:color="000000" w:sz="8" w:space="0"/>
            </w:tcBorders>
            <w:noWrap/>
            <w:vAlign w:val="center"/>
          </w:tcPr>
          <w:p w14:paraId="6D1C6691">
            <w:pPr>
              <w:spacing w:line="440" w:lineRule="exact"/>
              <w:jc w:val="center"/>
              <w:rPr>
                <w:rFonts w:ascii="宋体" w:hAnsi="宋体" w:cs="宋体"/>
                <w:b/>
                <w:bCs/>
                <w:color w:val="auto"/>
                <w:szCs w:val="21"/>
                <w:highlight w:val="none"/>
              </w:rPr>
            </w:pPr>
          </w:p>
        </w:tc>
        <w:tc>
          <w:tcPr>
            <w:tcW w:w="1155" w:type="dxa"/>
            <w:tcBorders>
              <w:top w:val="nil"/>
              <w:left w:val="nil"/>
              <w:bottom w:val="single" w:color="000000" w:sz="8" w:space="0"/>
              <w:right w:val="single" w:color="000000" w:sz="8" w:space="0"/>
            </w:tcBorders>
            <w:noWrap/>
            <w:vAlign w:val="center"/>
          </w:tcPr>
          <w:p w14:paraId="0FAAA4F8">
            <w:pPr>
              <w:widowControl/>
              <w:spacing w:line="440" w:lineRule="exact"/>
              <w:jc w:val="center"/>
              <w:textAlignment w:val="bottom"/>
              <w:rPr>
                <w:rFonts w:ascii="宋体" w:hAnsi="宋体" w:cs="宋体"/>
                <w:b/>
                <w:bCs/>
                <w:color w:val="auto"/>
                <w:szCs w:val="21"/>
                <w:highlight w:val="none"/>
              </w:rPr>
            </w:pPr>
          </w:p>
        </w:tc>
      </w:tr>
    </w:tbl>
    <w:p w14:paraId="6BAA4AD7">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说明：1、数量*单价=总价（物业管理期间所发生的全部耗材费），总价/使用周期（月）=</w:t>
      </w:r>
      <w:r>
        <w:rPr>
          <w:rFonts w:hint="eastAsia" w:hAnsi="宋体" w:cs="宋体"/>
          <w:b/>
          <w:bCs/>
          <w:color w:val="auto"/>
          <w:kern w:val="0"/>
          <w:szCs w:val="21"/>
          <w:highlight w:val="none"/>
        </w:rPr>
        <w:t>月折旧（元/月）。月折旧（元/月）*4个月=</w:t>
      </w:r>
      <w:r>
        <w:rPr>
          <w:rFonts w:hint="eastAsia" w:hAnsi="宋体" w:cs="宋体"/>
          <w:b/>
          <w:bCs/>
          <w:color w:val="auto"/>
          <w:sz w:val="24"/>
          <w:szCs w:val="24"/>
          <w:highlight w:val="none"/>
        </w:rPr>
        <w:t>总额计入前期介入费明细表中第六项安保耗材费。</w:t>
      </w:r>
    </w:p>
    <w:p w14:paraId="6533B240">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2、安保耗材费明细不全的，可在其他项目中自行展开添加，表格所列内容均需填报，如漏报，则视为让利，物业管理过程中如实际需要</w:t>
      </w:r>
      <w:r>
        <w:rPr>
          <w:rFonts w:hint="eastAsia" w:hAnsi="宋体" w:cs="宋体"/>
          <w:b/>
          <w:bCs/>
          <w:color w:val="auto"/>
          <w:sz w:val="24"/>
          <w:szCs w:val="24"/>
          <w:highlight w:val="none"/>
          <w:lang w:val="en-US" w:eastAsia="zh-CN"/>
        </w:rPr>
        <w:t>招标</w:t>
      </w:r>
      <w:r>
        <w:rPr>
          <w:rFonts w:hint="eastAsia" w:hAnsi="宋体" w:cs="宋体"/>
          <w:b/>
          <w:bCs/>
          <w:color w:val="auto"/>
          <w:sz w:val="24"/>
          <w:szCs w:val="24"/>
          <w:highlight w:val="none"/>
        </w:rPr>
        <w:t>，则甲方不再另外支付费用。</w:t>
      </w:r>
    </w:p>
    <w:p w14:paraId="62EFF361">
      <w:pPr>
        <w:spacing w:line="440" w:lineRule="exact"/>
        <w:rPr>
          <w:rFonts w:hint="eastAsia" w:ascii="宋体" w:hAnsi="宋体" w:cs="宋体"/>
          <w:b/>
          <w:bCs/>
          <w:color w:val="auto"/>
          <w:highlight w:val="none"/>
        </w:rPr>
      </w:pPr>
    </w:p>
    <w:p w14:paraId="0143016B">
      <w:pPr>
        <w:spacing w:line="440" w:lineRule="exact"/>
        <w:rPr>
          <w:rFonts w:hint="eastAsia" w:ascii="宋体" w:hAnsi="宋体" w:cs="宋体"/>
          <w:b/>
          <w:bCs/>
          <w:color w:val="auto"/>
          <w:highlight w:val="none"/>
        </w:rPr>
      </w:pPr>
    </w:p>
    <w:p w14:paraId="44DD60D4">
      <w:pPr>
        <w:spacing w:line="440" w:lineRule="exact"/>
        <w:rPr>
          <w:rFonts w:hint="eastAsia" w:ascii="宋体" w:hAnsi="宋体" w:cs="宋体"/>
          <w:b/>
          <w:bCs/>
          <w:color w:val="auto"/>
          <w:highlight w:val="none"/>
        </w:rPr>
      </w:pPr>
    </w:p>
    <w:p w14:paraId="3AAF0209">
      <w:pPr>
        <w:spacing w:line="440" w:lineRule="exact"/>
        <w:rPr>
          <w:rFonts w:hint="eastAsia" w:ascii="宋体" w:hAnsi="宋体" w:cs="宋体"/>
          <w:b/>
          <w:bCs/>
          <w:color w:val="auto"/>
          <w:highlight w:val="none"/>
        </w:rPr>
      </w:pPr>
    </w:p>
    <w:p w14:paraId="0F329D66">
      <w:pPr>
        <w:spacing w:line="440" w:lineRule="exact"/>
        <w:rPr>
          <w:rFonts w:ascii="宋体" w:hAnsi="宋体" w:cs="宋体"/>
          <w:b/>
          <w:bCs/>
          <w:color w:val="auto"/>
          <w:sz w:val="24"/>
          <w:highlight w:val="none"/>
        </w:rPr>
      </w:pPr>
      <w:r>
        <w:rPr>
          <w:rFonts w:hint="eastAsia" w:ascii="宋体" w:hAnsi="宋体" w:cs="宋体"/>
          <w:b/>
          <w:bCs/>
          <w:color w:val="auto"/>
          <w:highlight w:val="none"/>
        </w:rPr>
        <w:t>附件4：办公费用明细：</w:t>
      </w:r>
    </w:p>
    <w:tbl>
      <w:tblPr>
        <w:tblStyle w:val="22"/>
        <w:tblW w:w="8615" w:type="dxa"/>
        <w:jc w:val="center"/>
        <w:tblLayout w:type="fixed"/>
        <w:tblCellMar>
          <w:top w:w="0" w:type="dxa"/>
          <w:left w:w="108" w:type="dxa"/>
          <w:bottom w:w="0" w:type="dxa"/>
          <w:right w:w="108" w:type="dxa"/>
        </w:tblCellMar>
      </w:tblPr>
      <w:tblGrid>
        <w:gridCol w:w="1080"/>
        <w:gridCol w:w="1485"/>
        <w:gridCol w:w="1530"/>
        <w:gridCol w:w="1500"/>
        <w:gridCol w:w="1670"/>
        <w:gridCol w:w="1350"/>
      </w:tblGrid>
      <w:tr w14:paraId="4AECDA66">
        <w:tblPrEx>
          <w:tblCellMar>
            <w:top w:w="0" w:type="dxa"/>
            <w:left w:w="108" w:type="dxa"/>
            <w:bottom w:w="0" w:type="dxa"/>
            <w:right w:w="108" w:type="dxa"/>
          </w:tblCellMar>
        </w:tblPrEx>
        <w:trPr>
          <w:trHeight w:val="550" w:hRule="atLeast"/>
          <w:jc w:val="center"/>
        </w:trPr>
        <w:tc>
          <w:tcPr>
            <w:tcW w:w="1080" w:type="dxa"/>
            <w:tcBorders>
              <w:top w:val="single" w:color="000000" w:sz="8" w:space="0"/>
              <w:left w:val="single" w:color="000000" w:sz="8" w:space="0"/>
              <w:bottom w:val="single" w:color="000000" w:sz="8" w:space="0"/>
              <w:right w:val="single" w:color="000000" w:sz="8" w:space="0"/>
            </w:tcBorders>
            <w:noWrap/>
            <w:vAlign w:val="center"/>
          </w:tcPr>
          <w:p w14:paraId="15D10B51">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序号</w:t>
            </w:r>
          </w:p>
        </w:tc>
        <w:tc>
          <w:tcPr>
            <w:tcW w:w="1485" w:type="dxa"/>
            <w:tcBorders>
              <w:top w:val="single" w:color="000000" w:sz="8" w:space="0"/>
              <w:left w:val="nil"/>
              <w:bottom w:val="single" w:color="000000" w:sz="8" w:space="0"/>
              <w:right w:val="single" w:color="000000" w:sz="8" w:space="0"/>
            </w:tcBorders>
            <w:noWrap/>
            <w:vAlign w:val="center"/>
          </w:tcPr>
          <w:p w14:paraId="5238C423">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办公物品</w:t>
            </w:r>
          </w:p>
        </w:tc>
        <w:tc>
          <w:tcPr>
            <w:tcW w:w="1530" w:type="dxa"/>
            <w:tcBorders>
              <w:top w:val="single" w:color="000000" w:sz="8" w:space="0"/>
              <w:left w:val="nil"/>
              <w:bottom w:val="single" w:color="000000" w:sz="8" w:space="0"/>
              <w:right w:val="single" w:color="000000" w:sz="8" w:space="0"/>
            </w:tcBorders>
            <w:noWrap/>
            <w:vAlign w:val="center"/>
          </w:tcPr>
          <w:p w14:paraId="0FD09DE1">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单位</w:t>
            </w:r>
          </w:p>
        </w:tc>
        <w:tc>
          <w:tcPr>
            <w:tcW w:w="1500" w:type="dxa"/>
            <w:tcBorders>
              <w:top w:val="single" w:color="000000" w:sz="8" w:space="0"/>
              <w:left w:val="nil"/>
              <w:bottom w:val="single" w:color="000000" w:sz="8" w:space="0"/>
              <w:right w:val="single" w:color="000000" w:sz="8" w:space="0"/>
            </w:tcBorders>
            <w:noWrap/>
            <w:vAlign w:val="center"/>
          </w:tcPr>
          <w:p w14:paraId="4C865EC3">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数量</w:t>
            </w:r>
          </w:p>
        </w:tc>
        <w:tc>
          <w:tcPr>
            <w:tcW w:w="1670" w:type="dxa"/>
            <w:tcBorders>
              <w:top w:val="single" w:color="000000" w:sz="8" w:space="0"/>
              <w:left w:val="nil"/>
              <w:bottom w:val="single" w:color="000000" w:sz="8" w:space="0"/>
              <w:right w:val="single" w:color="000000" w:sz="8" w:space="0"/>
            </w:tcBorders>
            <w:noWrap/>
            <w:vAlign w:val="center"/>
          </w:tcPr>
          <w:p w14:paraId="7F0EDDB3">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单价（元）</w:t>
            </w:r>
          </w:p>
        </w:tc>
        <w:tc>
          <w:tcPr>
            <w:tcW w:w="1350" w:type="dxa"/>
            <w:tcBorders>
              <w:top w:val="single" w:color="000000" w:sz="8" w:space="0"/>
              <w:left w:val="nil"/>
              <w:bottom w:val="single" w:color="000000" w:sz="8" w:space="0"/>
              <w:right w:val="single" w:color="000000" w:sz="8" w:space="0"/>
            </w:tcBorders>
            <w:noWrap/>
            <w:vAlign w:val="center"/>
          </w:tcPr>
          <w:p w14:paraId="0C7FA44C">
            <w:pPr>
              <w:widowControl/>
              <w:spacing w:line="440" w:lineRule="exact"/>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rPr>
              <w:t>总价（元）</w:t>
            </w:r>
          </w:p>
        </w:tc>
      </w:tr>
      <w:tr w14:paraId="763B6C80">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noWrap/>
            <w:vAlign w:val="center"/>
          </w:tcPr>
          <w:p w14:paraId="6A77ABF0">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1</w:t>
            </w:r>
          </w:p>
        </w:tc>
        <w:tc>
          <w:tcPr>
            <w:tcW w:w="1485" w:type="dxa"/>
            <w:tcBorders>
              <w:top w:val="nil"/>
              <w:left w:val="nil"/>
              <w:bottom w:val="single" w:color="000000" w:sz="8" w:space="0"/>
              <w:right w:val="single" w:color="000000" w:sz="8" w:space="0"/>
            </w:tcBorders>
            <w:noWrap/>
            <w:vAlign w:val="center"/>
          </w:tcPr>
          <w:p w14:paraId="7004A8DA">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电脑</w:t>
            </w:r>
          </w:p>
        </w:tc>
        <w:tc>
          <w:tcPr>
            <w:tcW w:w="1530" w:type="dxa"/>
            <w:tcBorders>
              <w:top w:val="nil"/>
              <w:left w:val="nil"/>
              <w:bottom w:val="single" w:color="000000" w:sz="8" w:space="0"/>
              <w:right w:val="single" w:color="000000" w:sz="8" w:space="0"/>
            </w:tcBorders>
            <w:noWrap/>
            <w:vAlign w:val="center"/>
          </w:tcPr>
          <w:p w14:paraId="2C41A8AF">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1500" w:type="dxa"/>
            <w:tcBorders>
              <w:top w:val="nil"/>
              <w:left w:val="nil"/>
              <w:bottom w:val="single" w:color="000000" w:sz="8" w:space="0"/>
              <w:right w:val="single" w:color="000000" w:sz="8" w:space="0"/>
            </w:tcBorders>
            <w:noWrap/>
            <w:vAlign w:val="bottom"/>
          </w:tcPr>
          <w:p w14:paraId="72FEB86B">
            <w:pPr>
              <w:widowControl/>
              <w:spacing w:line="440" w:lineRule="exact"/>
              <w:jc w:val="center"/>
              <w:textAlignment w:val="bottom"/>
              <w:rPr>
                <w:rFonts w:ascii="宋体" w:hAnsi="宋体" w:cs="宋体"/>
                <w:color w:val="auto"/>
                <w:szCs w:val="21"/>
                <w:highlight w:val="none"/>
              </w:rPr>
            </w:pPr>
          </w:p>
        </w:tc>
        <w:tc>
          <w:tcPr>
            <w:tcW w:w="1670" w:type="dxa"/>
            <w:tcBorders>
              <w:top w:val="nil"/>
              <w:left w:val="nil"/>
              <w:bottom w:val="single" w:color="000000" w:sz="8" w:space="0"/>
              <w:right w:val="single" w:color="000000" w:sz="8" w:space="0"/>
            </w:tcBorders>
            <w:noWrap/>
            <w:vAlign w:val="bottom"/>
          </w:tcPr>
          <w:p w14:paraId="79353A71">
            <w:pPr>
              <w:widowControl/>
              <w:spacing w:line="440" w:lineRule="exact"/>
              <w:jc w:val="center"/>
              <w:textAlignment w:val="bottom"/>
              <w:rPr>
                <w:rFonts w:ascii="宋体" w:hAnsi="宋体" w:cs="宋体"/>
                <w:color w:val="auto"/>
                <w:szCs w:val="21"/>
                <w:highlight w:val="none"/>
              </w:rPr>
            </w:pPr>
          </w:p>
        </w:tc>
        <w:tc>
          <w:tcPr>
            <w:tcW w:w="1350" w:type="dxa"/>
            <w:tcBorders>
              <w:top w:val="nil"/>
              <w:left w:val="nil"/>
              <w:bottom w:val="single" w:color="000000" w:sz="8" w:space="0"/>
              <w:right w:val="single" w:color="000000" w:sz="8" w:space="0"/>
            </w:tcBorders>
            <w:noWrap/>
            <w:vAlign w:val="bottom"/>
          </w:tcPr>
          <w:p w14:paraId="199D23F5">
            <w:pPr>
              <w:widowControl/>
              <w:spacing w:line="440" w:lineRule="exact"/>
              <w:jc w:val="center"/>
              <w:textAlignment w:val="bottom"/>
              <w:rPr>
                <w:rFonts w:ascii="宋体" w:hAnsi="宋体" w:cs="宋体"/>
                <w:color w:val="auto"/>
                <w:szCs w:val="21"/>
                <w:highlight w:val="none"/>
              </w:rPr>
            </w:pPr>
          </w:p>
        </w:tc>
      </w:tr>
      <w:tr w14:paraId="7FFFF993">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noWrap/>
            <w:vAlign w:val="center"/>
          </w:tcPr>
          <w:p w14:paraId="053ED192">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2</w:t>
            </w:r>
          </w:p>
        </w:tc>
        <w:tc>
          <w:tcPr>
            <w:tcW w:w="1485" w:type="dxa"/>
            <w:tcBorders>
              <w:top w:val="nil"/>
              <w:left w:val="nil"/>
              <w:bottom w:val="single" w:color="000000" w:sz="8" w:space="0"/>
              <w:right w:val="single" w:color="000000" w:sz="8" w:space="0"/>
            </w:tcBorders>
            <w:noWrap/>
            <w:vAlign w:val="center"/>
          </w:tcPr>
          <w:p w14:paraId="6AE8CBFB">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打印机</w:t>
            </w:r>
          </w:p>
        </w:tc>
        <w:tc>
          <w:tcPr>
            <w:tcW w:w="1530" w:type="dxa"/>
            <w:tcBorders>
              <w:top w:val="nil"/>
              <w:left w:val="nil"/>
              <w:bottom w:val="single" w:color="000000" w:sz="8" w:space="0"/>
              <w:right w:val="single" w:color="000000" w:sz="8" w:space="0"/>
            </w:tcBorders>
            <w:noWrap/>
            <w:vAlign w:val="center"/>
          </w:tcPr>
          <w:p w14:paraId="760374D2">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个</w:t>
            </w:r>
          </w:p>
        </w:tc>
        <w:tc>
          <w:tcPr>
            <w:tcW w:w="1500" w:type="dxa"/>
            <w:tcBorders>
              <w:top w:val="nil"/>
              <w:left w:val="nil"/>
              <w:bottom w:val="single" w:color="000000" w:sz="8" w:space="0"/>
              <w:right w:val="single" w:color="000000" w:sz="8" w:space="0"/>
            </w:tcBorders>
            <w:noWrap/>
            <w:vAlign w:val="bottom"/>
          </w:tcPr>
          <w:p w14:paraId="0DD29E64">
            <w:pPr>
              <w:widowControl/>
              <w:spacing w:line="440" w:lineRule="exact"/>
              <w:jc w:val="center"/>
              <w:textAlignment w:val="bottom"/>
              <w:rPr>
                <w:rFonts w:ascii="宋体" w:hAnsi="宋体" w:cs="宋体"/>
                <w:color w:val="auto"/>
                <w:szCs w:val="21"/>
                <w:highlight w:val="none"/>
              </w:rPr>
            </w:pPr>
          </w:p>
        </w:tc>
        <w:tc>
          <w:tcPr>
            <w:tcW w:w="1670" w:type="dxa"/>
            <w:tcBorders>
              <w:top w:val="nil"/>
              <w:left w:val="nil"/>
              <w:bottom w:val="single" w:color="000000" w:sz="8" w:space="0"/>
              <w:right w:val="single" w:color="000000" w:sz="8" w:space="0"/>
            </w:tcBorders>
            <w:noWrap/>
            <w:vAlign w:val="bottom"/>
          </w:tcPr>
          <w:p w14:paraId="0373994B">
            <w:pPr>
              <w:widowControl/>
              <w:spacing w:line="440" w:lineRule="exact"/>
              <w:jc w:val="center"/>
              <w:textAlignment w:val="bottom"/>
              <w:rPr>
                <w:rFonts w:ascii="宋体" w:hAnsi="宋体" w:cs="宋体"/>
                <w:color w:val="auto"/>
                <w:szCs w:val="21"/>
                <w:highlight w:val="none"/>
              </w:rPr>
            </w:pPr>
          </w:p>
        </w:tc>
        <w:tc>
          <w:tcPr>
            <w:tcW w:w="1350" w:type="dxa"/>
            <w:tcBorders>
              <w:top w:val="nil"/>
              <w:left w:val="nil"/>
              <w:bottom w:val="single" w:color="000000" w:sz="8" w:space="0"/>
              <w:right w:val="single" w:color="000000" w:sz="8" w:space="0"/>
            </w:tcBorders>
            <w:noWrap/>
            <w:vAlign w:val="bottom"/>
          </w:tcPr>
          <w:p w14:paraId="545456F1">
            <w:pPr>
              <w:widowControl/>
              <w:spacing w:line="440" w:lineRule="exact"/>
              <w:jc w:val="center"/>
              <w:textAlignment w:val="bottom"/>
              <w:rPr>
                <w:rFonts w:ascii="宋体" w:hAnsi="宋体" w:cs="宋体"/>
                <w:color w:val="auto"/>
                <w:szCs w:val="21"/>
                <w:highlight w:val="none"/>
              </w:rPr>
            </w:pPr>
          </w:p>
        </w:tc>
      </w:tr>
      <w:tr w14:paraId="0A979B9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noWrap/>
            <w:vAlign w:val="center"/>
          </w:tcPr>
          <w:p w14:paraId="2D44314D">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3</w:t>
            </w:r>
          </w:p>
        </w:tc>
        <w:tc>
          <w:tcPr>
            <w:tcW w:w="1485" w:type="dxa"/>
            <w:tcBorders>
              <w:top w:val="nil"/>
              <w:left w:val="nil"/>
              <w:bottom w:val="single" w:color="000000" w:sz="8" w:space="0"/>
              <w:right w:val="single" w:color="000000" w:sz="8" w:space="0"/>
            </w:tcBorders>
            <w:noWrap/>
            <w:vAlign w:val="center"/>
          </w:tcPr>
          <w:p w14:paraId="53172EF4">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电话机</w:t>
            </w:r>
          </w:p>
        </w:tc>
        <w:tc>
          <w:tcPr>
            <w:tcW w:w="1530" w:type="dxa"/>
            <w:tcBorders>
              <w:top w:val="nil"/>
              <w:left w:val="nil"/>
              <w:bottom w:val="single" w:color="000000" w:sz="8" w:space="0"/>
              <w:right w:val="single" w:color="000000" w:sz="8" w:space="0"/>
            </w:tcBorders>
            <w:noWrap/>
            <w:vAlign w:val="center"/>
          </w:tcPr>
          <w:p w14:paraId="7FB298E9">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台</w:t>
            </w:r>
          </w:p>
        </w:tc>
        <w:tc>
          <w:tcPr>
            <w:tcW w:w="1500" w:type="dxa"/>
            <w:tcBorders>
              <w:top w:val="nil"/>
              <w:left w:val="nil"/>
              <w:bottom w:val="single" w:color="000000" w:sz="8" w:space="0"/>
              <w:right w:val="single" w:color="000000" w:sz="8" w:space="0"/>
            </w:tcBorders>
            <w:noWrap/>
            <w:vAlign w:val="bottom"/>
          </w:tcPr>
          <w:p w14:paraId="033E1393">
            <w:pPr>
              <w:widowControl/>
              <w:spacing w:line="440" w:lineRule="exact"/>
              <w:jc w:val="center"/>
              <w:textAlignment w:val="bottom"/>
              <w:rPr>
                <w:rFonts w:ascii="宋体" w:hAnsi="宋体" w:cs="宋体"/>
                <w:color w:val="auto"/>
                <w:szCs w:val="21"/>
                <w:highlight w:val="none"/>
              </w:rPr>
            </w:pPr>
          </w:p>
        </w:tc>
        <w:tc>
          <w:tcPr>
            <w:tcW w:w="1670" w:type="dxa"/>
            <w:tcBorders>
              <w:top w:val="nil"/>
              <w:left w:val="nil"/>
              <w:bottom w:val="single" w:color="000000" w:sz="8" w:space="0"/>
              <w:right w:val="single" w:color="000000" w:sz="8" w:space="0"/>
            </w:tcBorders>
            <w:noWrap/>
            <w:vAlign w:val="bottom"/>
          </w:tcPr>
          <w:p w14:paraId="0248685C">
            <w:pPr>
              <w:widowControl/>
              <w:spacing w:line="440" w:lineRule="exact"/>
              <w:jc w:val="center"/>
              <w:textAlignment w:val="bottom"/>
              <w:rPr>
                <w:rFonts w:ascii="宋体" w:hAnsi="宋体" w:cs="宋体"/>
                <w:color w:val="auto"/>
                <w:szCs w:val="21"/>
                <w:highlight w:val="none"/>
              </w:rPr>
            </w:pPr>
          </w:p>
        </w:tc>
        <w:tc>
          <w:tcPr>
            <w:tcW w:w="1350" w:type="dxa"/>
            <w:tcBorders>
              <w:top w:val="nil"/>
              <w:left w:val="nil"/>
              <w:bottom w:val="single" w:color="000000" w:sz="8" w:space="0"/>
              <w:right w:val="single" w:color="000000" w:sz="8" w:space="0"/>
            </w:tcBorders>
            <w:noWrap/>
            <w:vAlign w:val="bottom"/>
          </w:tcPr>
          <w:p w14:paraId="65E645AD">
            <w:pPr>
              <w:widowControl/>
              <w:spacing w:line="440" w:lineRule="exact"/>
              <w:jc w:val="center"/>
              <w:textAlignment w:val="bottom"/>
              <w:rPr>
                <w:rFonts w:ascii="宋体" w:hAnsi="宋体" w:cs="宋体"/>
                <w:color w:val="auto"/>
                <w:szCs w:val="21"/>
                <w:highlight w:val="none"/>
              </w:rPr>
            </w:pPr>
          </w:p>
        </w:tc>
      </w:tr>
      <w:tr w14:paraId="0FB4E7DB">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noWrap/>
            <w:vAlign w:val="center"/>
          </w:tcPr>
          <w:p w14:paraId="29158DAA">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4</w:t>
            </w:r>
          </w:p>
        </w:tc>
        <w:tc>
          <w:tcPr>
            <w:tcW w:w="1485" w:type="dxa"/>
            <w:tcBorders>
              <w:top w:val="nil"/>
              <w:left w:val="nil"/>
              <w:bottom w:val="single" w:color="000000" w:sz="8" w:space="0"/>
              <w:right w:val="single" w:color="000000" w:sz="8" w:space="0"/>
            </w:tcBorders>
            <w:noWrap/>
            <w:vAlign w:val="center"/>
          </w:tcPr>
          <w:p w14:paraId="5EB1B32B">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计算器</w:t>
            </w:r>
          </w:p>
        </w:tc>
        <w:tc>
          <w:tcPr>
            <w:tcW w:w="1530" w:type="dxa"/>
            <w:tcBorders>
              <w:top w:val="nil"/>
              <w:left w:val="nil"/>
              <w:bottom w:val="single" w:color="000000" w:sz="8" w:space="0"/>
              <w:right w:val="single" w:color="000000" w:sz="8" w:space="0"/>
            </w:tcBorders>
            <w:noWrap/>
            <w:vAlign w:val="center"/>
          </w:tcPr>
          <w:p w14:paraId="2E8017CC">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个</w:t>
            </w:r>
          </w:p>
        </w:tc>
        <w:tc>
          <w:tcPr>
            <w:tcW w:w="1500" w:type="dxa"/>
            <w:tcBorders>
              <w:top w:val="nil"/>
              <w:left w:val="nil"/>
              <w:bottom w:val="single" w:color="000000" w:sz="8" w:space="0"/>
              <w:right w:val="single" w:color="000000" w:sz="8" w:space="0"/>
            </w:tcBorders>
            <w:noWrap/>
            <w:vAlign w:val="bottom"/>
          </w:tcPr>
          <w:p w14:paraId="7708FD6F">
            <w:pPr>
              <w:widowControl/>
              <w:spacing w:line="440" w:lineRule="exact"/>
              <w:jc w:val="center"/>
              <w:textAlignment w:val="bottom"/>
              <w:rPr>
                <w:rFonts w:ascii="宋体" w:hAnsi="宋体" w:cs="宋体"/>
                <w:color w:val="auto"/>
                <w:szCs w:val="21"/>
                <w:highlight w:val="none"/>
              </w:rPr>
            </w:pPr>
          </w:p>
        </w:tc>
        <w:tc>
          <w:tcPr>
            <w:tcW w:w="1670" w:type="dxa"/>
            <w:tcBorders>
              <w:top w:val="nil"/>
              <w:left w:val="nil"/>
              <w:bottom w:val="single" w:color="000000" w:sz="8" w:space="0"/>
              <w:right w:val="single" w:color="000000" w:sz="8" w:space="0"/>
            </w:tcBorders>
            <w:noWrap/>
            <w:vAlign w:val="bottom"/>
          </w:tcPr>
          <w:p w14:paraId="362CC482">
            <w:pPr>
              <w:widowControl/>
              <w:spacing w:line="440" w:lineRule="exact"/>
              <w:jc w:val="center"/>
              <w:textAlignment w:val="bottom"/>
              <w:rPr>
                <w:rFonts w:ascii="宋体" w:hAnsi="宋体" w:cs="宋体"/>
                <w:color w:val="auto"/>
                <w:szCs w:val="21"/>
                <w:highlight w:val="none"/>
              </w:rPr>
            </w:pPr>
          </w:p>
        </w:tc>
        <w:tc>
          <w:tcPr>
            <w:tcW w:w="1350" w:type="dxa"/>
            <w:tcBorders>
              <w:top w:val="nil"/>
              <w:left w:val="nil"/>
              <w:bottom w:val="single" w:color="000000" w:sz="8" w:space="0"/>
              <w:right w:val="single" w:color="000000" w:sz="8" w:space="0"/>
            </w:tcBorders>
            <w:noWrap/>
            <w:vAlign w:val="bottom"/>
          </w:tcPr>
          <w:p w14:paraId="12CA239F">
            <w:pPr>
              <w:widowControl/>
              <w:spacing w:line="440" w:lineRule="exact"/>
              <w:jc w:val="center"/>
              <w:textAlignment w:val="bottom"/>
              <w:rPr>
                <w:rFonts w:ascii="宋体" w:hAnsi="宋体" w:cs="宋体"/>
                <w:color w:val="auto"/>
                <w:szCs w:val="21"/>
                <w:highlight w:val="none"/>
              </w:rPr>
            </w:pPr>
          </w:p>
        </w:tc>
      </w:tr>
      <w:tr w14:paraId="22D16CE4">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noWrap/>
            <w:vAlign w:val="center"/>
          </w:tcPr>
          <w:p w14:paraId="60AD45CF">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5</w:t>
            </w:r>
          </w:p>
        </w:tc>
        <w:tc>
          <w:tcPr>
            <w:tcW w:w="1485" w:type="dxa"/>
            <w:tcBorders>
              <w:top w:val="nil"/>
              <w:left w:val="nil"/>
              <w:bottom w:val="single" w:color="000000" w:sz="8" w:space="0"/>
              <w:right w:val="single" w:color="000000" w:sz="8" w:space="0"/>
            </w:tcBorders>
            <w:noWrap/>
            <w:vAlign w:val="center"/>
          </w:tcPr>
          <w:p w14:paraId="408FC7D5">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档案柜</w:t>
            </w:r>
          </w:p>
        </w:tc>
        <w:tc>
          <w:tcPr>
            <w:tcW w:w="1530" w:type="dxa"/>
            <w:tcBorders>
              <w:top w:val="nil"/>
              <w:left w:val="nil"/>
              <w:bottom w:val="single" w:color="000000" w:sz="8" w:space="0"/>
              <w:right w:val="single" w:color="000000" w:sz="8" w:space="0"/>
            </w:tcBorders>
            <w:noWrap/>
            <w:vAlign w:val="center"/>
          </w:tcPr>
          <w:p w14:paraId="771262E1">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个</w:t>
            </w:r>
          </w:p>
        </w:tc>
        <w:tc>
          <w:tcPr>
            <w:tcW w:w="1500" w:type="dxa"/>
            <w:tcBorders>
              <w:top w:val="nil"/>
              <w:left w:val="nil"/>
              <w:bottom w:val="single" w:color="000000" w:sz="8" w:space="0"/>
              <w:right w:val="single" w:color="000000" w:sz="8" w:space="0"/>
            </w:tcBorders>
            <w:noWrap/>
            <w:vAlign w:val="bottom"/>
          </w:tcPr>
          <w:p w14:paraId="6856DE1C">
            <w:pPr>
              <w:widowControl/>
              <w:spacing w:line="440" w:lineRule="exact"/>
              <w:jc w:val="center"/>
              <w:textAlignment w:val="bottom"/>
              <w:rPr>
                <w:rFonts w:ascii="宋体" w:hAnsi="宋体" w:cs="宋体"/>
                <w:color w:val="auto"/>
                <w:szCs w:val="21"/>
                <w:highlight w:val="none"/>
              </w:rPr>
            </w:pPr>
          </w:p>
        </w:tc>
        <w:tc>
          <w:tcPr>
            <w:tcW w:w="1670" w:type="dxa"/>
            <w:tcBorders>
              <w:top w:val="nil"/>
              <w:left w:val="nil"/>
              <w:bottom w:val="single" w:color="000000" w:sz="8" w:space="0"/>
              <w:right w:val="single" w:color="000000" w:sz="8" w:space="0"/>
            </w:tcBorders>
            <w:noWrap/>
            <w:vAlign w:val="bottom"/>
          </w:tcPr>
          <w:p w14:paraId="31BD3C2C">
            <w:pPr>
              <w:widowControl/>
              <w:spacing w:line="440" w:lineRule="exact"/>
              <w:jc w:val="center"/>
              <w:textAlignment w:val="bottom"/>
              <w:rPr>
                <w:rFonts w:ascii="宋体" w:hAnsi="宋体" w:cs="宋体"/>
                <w:color w:val="auto"/>
                <w:szCs w:val="21"/>
                <w:highlight w:val="none"/>
              </w:rPr>
            </w:pPr>
          </w:p>
        </w:tc>
        <w:tc>
          <w:tcPr>
            <w:tcW w:w="1350" w:type="dxa"/>
            <w:tcBorders>
              <w:top w:val="nil"/>
              <w:left w:val="nil"/>
              <w:bottom w:val="single" w:color="000000" w:sz="8" w:space="0"/>
              <w:right w:val="single" w:color="000000" w:sz="8" w:space="0"/>
            </w:tcBorders>
            <w:noWrap/>
            <w:vAlign w:val="bottom"/>
          </w:tcPr>
          <w:p w14:paraId="3E829681">
            <w:pPr>
              <w:widowControl/>
              <w:spacing w:line="440" w:lineRule="exact"/>
              <w:jc w:val="center"/>
              <w:textAlignment w:val="bottom"/>
              <w:rPr>
                <w:rFonts w:ascii="宋体" w:hAnsi="宋体" w:cs="宋体"/>
                <w:color w:val="auto"/>
                <w:szCs w:val="21"/>
                <w:highlight w:val="none"/>
              </w:rPr>
            </w:pPr>
          </w:p>
        </w:tc>
      </w:tr>
      <w:tr w14:paraId="6123276C">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noWrap/>
            <w:vAlign w:val="center"/>
          </w:tcPr>
          <w:p w14:paraId="378D0DE6">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6</w:t>
            </w:r>
          </w:p>
        </w:tc>
        <w:tc>
          <w:tcPr>
            <w:tcW w:w="1485" w:type="dxa"/>
            <w:tcBorders>
              <w:top w:val="nil"/>
              <w:left w:val="nil"/>
              <w:bottom w:val="single" w:color="000000" w:sz="8" w:space="0"/>
              <w:right w:val="single" w:color="000000" w:sz="8" w:space="0"/>
            </w:tcBorders>
            <w:noWrap/>
            <w:vAlign w:val="center"/>
          </w:tcPr>
          <w:p w14:paraId="5BDE4654">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办公桌椅</w:t>
            </w:r>
          </w:p>
        </w:tc>
        <w:tc>
          <w:tcPr>
            <w:tcW w:w="1530" w:type="dxa"/>
            <w:tcBorders>
              <w:top w:val="nil"/>
              <w:left w:val="nil"/>
              <w:bottom w:val="single" w:color="000000" w:sz="8" w:space="0"/>
              <w:right w:val="single" w:color="000000" w:sz="8" w:space="0"/>
            </w:tcBorders>
            <w:noWrap/>
            <w:vAlign w:val="center"/>
          </w:tcPr>
          <w:p w14:paraId="1FD7570E">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套</w:t>
            </w:r>
          </w:p>
        </w:tc>
        <w:tc>
          <w:tcPr>
            <w:tcW w:w="1500" w:type="dxa"/>
            <w:tcBorders>
              <w:top w:val="nil"/>
              <w:left w:val="nil"/>
              <w:bottom w:val="single" w:color="000000" w:sz="8" w:space="0"/>
              <w:right w:val="single" w:color="000000" w:sz="8" w:space="0"/>
            </w:tcBorders>
            <w:noWrap/>
            <w:vAlign w:val="bottom"/>
          </w:tcPr>
          <w:p w14:paraId="799475A7">
            <w:pPr>
              <w:widowControl/>
              <w:spacing w:line="440" w:lineRule="exact"/>
              <w:jc w:val="center"/>
              <w:textAlignment w:val="bottom"/>
              <w:rPr>
                <w:rFonts w:ascii="宋体" w:hAnsi="宋体" w:cs="宋体"/>
                <w:color w:val="auto"/>
                <w:szCs w:val="21"/>
                <w:highlight w:val="none"/>
              </w:rPr>
            </w:pPr>
          </w:p>
        </w:tc>
        <w:tc>
          <w:tcPr>
            <w:tcW w:w="1670" w:type="dxa"/>
            <w:tcBorders>
              <w:top w:val="nil"/>
              <w:left w:val="nil"/>
              <w:bottom w:val="single" w:color="000000" w:sz="8" w:space="0"/>
              <w:right w:val="single" w:color="000000" w:sz="8" w:space="0"/>
            </w:tcBorders>
            <w:noWrap/>
            <w:vAlign w:val="bottom"/>
          </w:tcPr>
          <w:p w14:paraId="603C1A20">
            <w:pPr>
              <w:widowControl/>
              <w:spacing w:line="440" w:lineRule="exact"/>
              <w:jc w:val="center"/>
              <w:textAlignment w:val="bottom"/>
              <w:rPr>
                <w:rFonts w:ascii="宋体" w:hAnsi="宋体" w:cs="宋体"/>
                <w:color w:val="auto"/>
                <w:szCs w:val="21"/>
                <w:highlight w:val="none"/>
              </w:rPr>
            </w:pPr>
          </w:p>
        </w:tc>
        <w:tc>
          <w:tcPr>
            <w:tcW w:w="1350" w:type="dxa"/>
            <w:tcBorders>
              <w:top w:val="nil"/>
              <w:left w:val="nil"/>
              <w:bottom w:val="single" w:color="000000" w:sz="8" w:space="0"/>
              <w:right w:val="single" w:color="000000" w:sz="8" w:space="0"/>
            </w:tcBorders>
            <w:noWrap/>
            <w:vAlign w:val="bottom"/>
          </w:tcPr>
          <w:p w14:paraId="7F658CAB">
            <w:pPr>
              <w:widowControl/>
              <w:spacing w:line="440" w:lineRule="exact"/>
              <w:jc w:val="center"/>
              <w:textAlignment w:val="bottom"/>
              <w:rPr>
                <w:rFonts w:ascii="宋体" w:hAnsi="宋体" w:cs="宋体"/>
                <w:color w:val="auto"/>
                <w:szCs w:val="21"/>
                <w:highlight w:val="none"/>
              </w:rPr>
            </w:pPr>
          </w:p>
        </w:tc>
      </w:tr>
      <w:tr w14:paraId="19DE9EF1">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noWrap/>
            <w:vAlign w:val="center"/>
          </w:tcPr>
          <w:p w14:paraId="057C3986">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7</w:t>
            </w:r>
          </w:p>
        </w:tc>
        <w:tc>
          <w:tcPr>
            <w:tcW w:w="1485" w:type="dxa"/>
            <w:tcBorders>
              <w:top w:val="nil"/>
              <w:left w:val="nil"/>
              <w:bottom w:val="single" w:color="000000" w:sz="8" w:space="0"/>
              <w:right w:val="single" w:color="000000" w:sz="8" w:space="0"/>
            </w:tcBorders>
            <w:noWrap/>
            <w:vAlign w:val="center"/>
          </w:tcPr>
          <w:p w14:paraId="30DCA9F8">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档案盒</w:t>
            </w:r>
          </w:p>
        </w:tc>
        <w:tc>
          <w:tcPr>
            <w:tcW w:w="1530" w:type="dxa"/>
            <w:tcBorders>
              <w:top w:val="nil"/>
              <w:left w:val="nil"/>
              <w:bottom w:val="single" w:color="000000" w:sz="8" w:space="0"/>
              <w:right w:val="single" w:color="000000" w:sz="8" w:space="0"/>
            </w:tcBorders>
            <w:noWrap/>
            <w:vAlign w:val="center"/>
          </w:tcPr>
          <w:p w14:paraId="0684A740">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个</w:t>
            </w:r>
          </w:p>
        </w:tc>
        <w:tc>
          <w:tcPr>
            <w:tcW w:w="1500" w:type="dxa"/>
            <w:tcBorders>
              <w:top w:val="nil"/>
              <w:left w:val="nil"/>
              <w:bottom w:val="single" w:color="000000" w:sz="8" w:space="0"/>
              <w:right w:val="single" w:color="000000" w:sz="8" w:space="0"/>
            </w:tcBorders>
            <w:noWrap/>
            <w:vAlign w:val="bottom"/>
          </w:tcPr>
          <w:p w14:paraId="0B90A907">
            <w:pPr>
              <w:widowControl/>
              <w:spacing w:line="440" w:lineRule="exact"/>
              <w:jc w:val="center"/>
              <w:textAlignment w:val="bottom"/>
              <w:rPr>
                <w:rFonts w:ascii="宋体" w:hAnsi="宋体" w:cs="宋体"/>
                <w:color w:val="auto"/>
                <w:szCs w:val="21"/>
                <w:highlight w:val="none"/>
              </w:rPr>
            </w:pPr>
          </w:p>
        </w:tc>
        <w:tc>
          <w:tcPr>
            <w:tcW w:w="1670" w:type="dxa"/>
            <w:tcBorders>
              <w:top w:val="nil"/>
              <w:left w:val="nil"/>
              <w:bottom w:val="single" w:color="000000" w:sz="8" w:space="0"/>
              <w:right w:val="single" w:color="000000" w:sz="8" w:space="0"/>
            </w:tcBorders>
            <w:noWrap/>
            <w:vAlign w:val="bottom"/>
          </w:tcPr>
          <w:p w14:paraId="4D27F6DF">
            <w:pPr>
              <w:widowControl/>
              <w:spacing w:line="440" w:lineRule="exact"/>
              <w:jc w:val="center"/>
              <w:textAlignment w:val="bottom"/>
              <w:rPr>
                <w:rFonts w:ascii="宋体" w:hAnsi="宋体" w:cs="宋体"/>
                <w:color w:val="auto"/>
                <w:szCs w:val="21"/>
                <w:highlight w:val="none"/>
              </w:rPr>
            </w:pPr>
          </w:p>
        </w:tc>
        <w:tc>
          <w:tcPr>
            <w:tcW w:w="1350" w:type="dxa"/>
            <w:tcBorders>
              <w:top w:val="nil"/>
              <w:left w:val="nil"/>
              <w:bottom w:val="single" w:color="000000" w:sz="8" w:space="0"/>
              <w:right w:val="single" w:color="000000" w:sz="8" w:space="0"/>
            </w:tcBorders>
            <w:noWrap/>
            <w:vAlign w:val="bottom"/>
          </w:tcPr>
          <w:p w14:paraId="7EB4D3D1">
            <w:pPr>
              <w:widowControl/>
              <w:spacing w:line="440" w:lineRule="exact"/>
              <w:jc w:val="center"/>
              <w:textAlignment w:val="bottom"/>
              <w:rPr>
                <w:rFonts w:ascii="宋体" w:hAnsi="宋体" w:cs="宋体"/>
                <w:color w:val="auto"/>
                <w:szCs w:val="21"/>
                <w:highlight w:val="none"/>
              </w:rPr>
            </w:pPr>
          </w:p>
        </w:tc>
      </w:tr>
      <w:tr w14:paraId="0E1C887F">
        <w:tblPrEx>
          <w:tblCellMar>
            <w:top w:w="0" w:type="dxa"/>
            <w:left w:w="108" w:type="dxa"/>
            <w:bottom w:w="0" w:type="dxa"/>
            <w:right w:w="108" w:type="dxa"/>
          </w:tblCellMar>
        </w:tblPrEx>
        <w:trPr>
          <w:trHeight w:val="300" w:hRule="atLeast"/>
          <w:jc w:val="center"/>
        </w:trPr>
        <w:tc>
          <w:tcPr>
            <w:tcW w:w="1080" w:type="dxa"/>
            <w:tcBorders>
              <w:top w:val="nil"/>
              <w:left w:val="single" w:color="000000" w:sz="8" w:space="0"/>
              <w:bottom w:val="single" w:color="000000" w:sz="8" w:space="0"/>
              <w:right w:val="single" w:color="000000" w:sz="8" w:space="0"/>
            </w:tcBorders>
            <w:noWrap/>
            <w:vAlign w:val="center"/>
          </w:tcPr>
          <w:p w14:paraId="1102AA45">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8</w:t>
            </w:r>
          </w:p>
        </w:tc>
        <w:tc>
          <w:tcPr>
            <w:tcW w:w="1485" w:type="dxa"/>
            <w:tcBorders>
              <w:top w:val="nil"/>
              <w:left w:val="nil"/>
              <w:bottom w:val="single" w:color="000000" w:sz="8" w:space="0"/>
              <w:right w:val="single" w:color="000000" w:sz="8" w:space="0"/>
            </w:tcBorders>
            <w:noWrap/>
            <w:vAlign w:val="center"/>
          </w:tcPr>
          <w:p w14:paraId="0A185581">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打印纸</w:t>
            </w:r>
          </w:p>
        </w:tc>
        <w:tc>
          <w:tcPr>
            <w:tcW w:w="1530" w:type="dxa"/>
            <w:tcBorders>
              <w:top w:val="nil"/>
              <w:left w:val="nil"/>
              <w:bottom w:val="single" w:color="000000" w:sz="8" w:space="0"/>
              <w:right w:val="single" w:color="000000" w:sz="8" w:space="0"/>
            </w:tcBorders>
            <w:noWrap/>
            <w:vAlign w:val="center"/>
          </w:tcPr>
          <w:p w14:paraId="54E7FBC7">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盒</w:t>
            </w:r>
          </w:p>
        </w:tc>
        <w:tc>
          <w:tcPr>
            <w:tcW w:w="1500" w:type="dxa"/>
            <w:tcBorders>
              <w:top w:val="nil"/>
              <w:left w:val="nil"/>
              <w:bottom w:val="single" w:color="000000" w:sz="8" w:space="0"/>
              <w:right w:val="single" w:color="000000" w:sz="8" w:space="0"/>
            </w:tcBorders>
            <w:noWrap/>
            <w:vAlign w:val="bottom"/>
          </w:tcPr>
          <w:p w14:paraId="5E14AA08">
            <w:pPr>
              <w:widowControl/>
              <w:spacing w:line="440" w:lineRule="exact"/>
              <w:jc w:val="center"/>
              <w:textAlignment w:val="bottom"/>
              <w:rPr>
                <w:rFonts w:ascii="宋体" w:hAnsi="宋体" w:cs="宋体"/>
                <w:color w:val="auto"/>
                <w:szCs w:val="21"/>
                <w:highlight w:val="none"/>
              </w:rPr>
            </w:pPr>
          </w:p>
        </w:tc>
        <w:tc>
          <w:tcPr>
            <w:tcW w:w="1670" w:type="dxa"/>
            <w:tcBorders>
              <w:top w:val="nil"/>
              <w:left w:val="nil"/>
              <w:bottom w:val="single" w:color="000000" w:sz="8" w:space="0"/>
              <w:right w:val="single" w:color="000000" w:sz="8" w:space="0"/>
            </w:tcBorders>
            <w:noWrap/>
            <w:vAlign w:val="bottom"/>
          </w:tcPr>
          <w:p w14:paraId="42E2EDBF">
            <w:pPr>
              <w:widowControl/>
              <w:spacing w:line="440" w:lineRule="exact"/>
              <w:jc w:val="center"/>
              <w:textAlignment w:val="bottom"/>
              <w:rPr>
                <w:rFonts w:ascii="宋体" w:hAnsi="宋体" w:cs="宋体"/>
                <w:color w:val="auto"/>
                <w:szCs w:val="21"/>
                <w:highlight w:val="none"/>
              </w:rPr>
            </w:pPr>
          </w:p>
        </w:tc>
        <w:tc>
          <w:tcPr>
            <w:tcW w:w="1350" w:type="dxa"/>
            <w:tcBorders>
              <w:top w:val="nil"/>
              <w:left w:val="nil"/>
              <w:bottom w:val="single" w:color="000000" w:sz="8" w:space="0"/>
              <w:right w:val="single" w:color="000000" w:sz="8" w:space="0"/>
            </w:tcBorders>
            <w:noWrap/>
            <w:vAlign w:val="bottom"/>
          </w:tcPr>
          <w:p w14:paraId="1B9C8739">
            <w:pPr>
              <w:widowControl/>
              <w:spacing w:line="440" w:lineRule="exact"/>
              <w:jc w:val="center"/>
              <w:textAlignment w:val="bottom"/>
              <w:rPr>
                <w:rFonts w:ascii="宋体" w:hAnsi="宋体" w:cs="宋体"/>
                <w:color w:val="auto"/>
                <w:szCs w:val="21"/>
                <w:highlight w:val="none"/>
              </w:rPr>
            </w:pPr>
          </w:p>
        </w:tc>
      </w:tr>
      <w:tr w14:paraId="1297D171">
        <w:tblPrEx>
          <w:tblCellMar>
            <w:top w:w="0" w:type="dxa"/>
            <w:left w:w="108" w:type="dxa"/>
            <w:bottom w:w="0" w:type="dxa"/>
            <w:right w:w="108" w:type="dxa"/>
          </w:tblCellMar>
        </w:tblPrEx>
        <w:trPr>
          <w:trHeight w:val="300" w:hRule="atLeast"/>
          <w:jc w:val="center"/>
        </w:trPr>
        <w:tc>
          <w:tcPr>
            <w:tcW w:w="1080" w:type="dxa"/>
            <w:tcBorders>
              <w:top w:val="single" w:color="000000" w:sz="8" w:space="0"/>
              <w:left w:val="single" w:color="000000" w:sz="8" w:space="0"/>
              <w:bottom w:val="single" w:color="000000" w:sz="8" w:space="0"/>
              <w:right w:val="single" w:color="000000" w:sz="8" w:space="0"/>
            </w:tcBorders>
            <w:noWrap/>
            <w:vAlign w:val="center"/>
          </w:tcPr>
          <w:p w14:paraId="36B4AB14">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9</w:t>
            </w:r>
          </w:p>
        </w:tc>
        <w:tc>
          <w:tcPr>
            <w:tcW w:w="1485" w:type="dxa"/>
            <w:tcBorders>
              <w:top w:val="single" w:color="000000" w:sz="8" w:space="0"/>
              <w:left w:val="single" w:color="000000" w:sz="8" w:space="0"/>
              <w:bottom w:val="single" w:color="000000" w:sz="8" w:space="0"/>
              <w:right w:val="single" w:color="000000" w:sz="8" w:space="0"/>
            </w:tcBorders>
            <w:noWrap/>
            <w:vAlign w:val="center"/>
          </w:tcPr>
          <w:p w14:paraId="02D030D2">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空调（挂壁）</w:t>
            </w:r>
          </w:p>
        </w:tc>
        <w:tc>
          <w:tcPr>
            <w:tcW w:w="1530" w:type="dxa"/>
            <w:tcBorders>
              <w:top w:val="single" w:color="000000" w:sz="8" w:space="0"/>
              <w:left w:val="single" w:color="000000" w:sz="8" w:space="0"/>
              <w:bottom w:val="single" w:color="000000" w:sz="8" w:space="0"/>
              <w:right w:val="single" w:color="000000" w:sz="8" w:space="0"/>
            </w:tcBorders>
            <w:noWrap/>
            <w:vAlign w:val="center"/>
          </w:tcPr>
          <w:p w14:paraId="62F67D58">
            <w:pPr>
              <w:widowControl/>
              <w:spacing w:line="440" w:lineRule="exact"/>
              <w:jc w:val="center"/>
              <w:textAlignment w:val="center"/>
              <w:rPr>
                <w:rFonts w:ascii="宋体" w:hAnsi="宋体" w:cs="宋体"/>
                <w:color w:val="auto"/>
                <w:szCs w:val="21"/>
                <w:highlight w:val="none"/>
              </w:rPr>
            </w:pPr>
            <w:r>
              <w:rPr>
                <w:rFonts w:hint="eastAsia" w:ascii="宋体" w:hAnsi="宋体" w:cs="宋体"/>
                <w:color w:val="auto"/>
                <w:kern w:val="0"/>
                <w:szCs w:val="21"/>
                <w:highlight w:val="none"/>
              </w:rPr>
              <w:t>台</w:t>
            </w:r>
          </w:p>
        </w:tc>
        <w:tc>
          <w:tcPr>
            <w:tcW w:w="1500" w:type="dxa"/>
            <w:tcBorders>
              <w:top w:val="single" w:color="000000" w:sz="8" w:space="0"/>
              <w:left w:val="single" w:color="000000" w:sz="8" w:space="0"/>
              <w:bottom w:val="single" w:color="000000" w:sz="8" w:space="0"/>
              <w:right w:val="single" w:color="000000" w:sz="8" w:space="0"/>
            </w:tcBorders>
            <w:noWrap/>
            <w:vAlign w:val="bottom"/>
          </w:tcPr>
          <w:p w14:paraId="0A30677D">
            <w:pPr>
              <w:widowControl/>
              <w:spacing w:line="440" w:lineRule="exact"/>
              <w:jc w:val="center"/>
              <w:textAlignment w:val="bottom"/>
              <w:rPr>
                <w:rFonts w:ascii="宋体" w:hAnsi="宋体" w:cs="宋体"/>
                <w:color w:val="auto"/>
                <w:szCs w:val="21"/>
                <w:highlight w:val="none"/>
              </w:rPr>
            </w:pPr>
          </w:p>
        </w:tc>
        <w:tc>
          <w:tcPr>
            <w:tcW w:w="1670" w:type="dxa"/>
            <w:tcBorders>
              <w:top w:val="single" w:color="000000" w:sz="8" w:space="0"/>
              <w:left w:val="single" w:color="000000" w:sz="8" w:space="0"/>
              <w:bottom w:val="single" w:color="000000" w:sz="8" w:space="0"/>
              <w:right w:val="single" w:color="000000" w:sz="8" w:space="0"/>
            </w:tcBorders>
            <w:noWrap/>
            <w:vAlign w:val="bottom"/>
          </w:tcPr>
          <w:p w14:paraId="6B9A5D98">
            <w:pPr>
              <w:widowControl/>
              <w:spacing w:line="440" w:lineRule="exact"/>
              <w:jc w:val="center"/>
              <w:textAlignment w:val="bottom"/>
              <w:rPr>
                <w:rFonts w:ascii="宋体" w:hAnsi="宋体" w:cs="宋体"/>
                <w:color w:val="auto"/>
                <w:szCs w:val="21"/>
                <w:highlight w:val="none"/>
              </w:rPr>
            </w:pPr>
          </w:p>
        </w:tc>
        <w:tc>
          <w:tcPr>
            <w:tcW w:w="1350" w:type="dxa"/>
            <w:tcBorders>
              <w:top w:val="single" w:color="000000" w:sz="8" w:space="0"/>
              <w:left w:val="single" w:color="000000" w:sz="8" w:space="0"/>
              <w:bottom w:val="single" w:color="000000" w:sz="8" w:space="0"/>
              <w:right w:val="single" w:color="000000" w:sz="8" w:space="0"/>
            </w:tcBorders>
            <w:noWrap/>
            <w:vAlign w:val="bottom"/>
          </w:tcPr>
          <w:p w14:paraId="06441010">
            <w:pPr>
              <w:widowControl/>
              <w:spacing w:line="440" w:lineRule="exact"/>
              <w:jc w:val="center"/>
              <w:textAlignment w:val="bottom"/>
              <w:rPr>
                <w:rFonts w:ascii="宋体" w:hAnsi="宋体" w:cs="宋体"/>
                <w:color w:val="auto"/>
                <w:szCs w:val="21"/>
                <w:highlight w:val="none"/>
              </w:rPr>
            </w:pPr>
          </w:p>
        </w:tc>
      </w:tr>
      <w:tr w14:paraId="4E0F5B97">
        <w:tblPrEx>
          <w:tblCellMar>
            <w:top w:w="0" w:type="dxa"/>
            <w:left w:w="108" w:type="dxa"/>
            <w:bottom w:w="0" w:type="dxa"/>
            <w:right w:w="108" w:type="dxa"/>
          </w:tblCellMar>
        </w:tblPrEx>
        <w:trPr>
          <w:trHeight w:val="300" w:hRule="atLeast"/>
          <w:jc w:val="center"/>
        </w:trPr>
        <w:tc>
          <w:tcPr>
            <w:tcW w:w="1080" w:type="dxa"/>
            <w:tcBorders>
              <w:top w:val="single" w:color="000000" w:sz="8" w:space="0"/>
              <w:left w:val="single" w:color="000000" w:sz="8" w:space="0"/>
              <w:bottom w:val="single" w:color="000000" w:sz="8" w:space="0"/>
              <w:right w:val="single" w:color="000000" w:sz="8" w:space="0"/>
            </w:tcBorders>
            <w:noWrap/>
            <w:vAlign w:val="center"/>
          </w:tcPr>
          <w:p w14:paraId="42F56B02">
            <w:pPr>
              <w:widowControl/>
              <w:spacing w:line="44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485" w:type="dxa"/>
            <w:tcBorders>
              <w:top w:val="single" w:color="000000" w:sz="8" w:space="0"/>
              <w:left w:val="single" w:color="000000" w:sz="8" w:space="0"/>
              <w:bottom w:val="single" w:color="000000" w:sz="8" w:space="0"/>
              <w:right w:val="single" w:color="000000" w:sz="8" w:space="0"/>
            </w:tcBorders>
            <w:noWrap/>
            <w:vAlign w:val="center"/>
          </w:tcPr>
          <w:p w14:paraId="52C05CF0">
            <w:pPr>
              <w:widowControl/>
              <w:spacing w:line="44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空调（立式）</w:t>
            </w:r>
          </w:p>
        </w:tc>
        <w:tc>
          <w:tcPr>
            <w:tcW w:w="1530" w:type="dxa"/>
            <w:tcBorders>
              <w:top w:val="single" w:color="000000" w:sz="8" w:space="0"/>
              <w:left w:val="single" w:color="000000" w:sz="8" w:space="0"/>
              <w:bottom w:val="single" w:color="000000" w:sz="8" w:space="0"/>
              <w:right w:val="single" w:color="000000" w:sz="8" w:space="0"/>
            </w:tcBorders>
            <w:noWrap/>
            <w:vAlign w:val="center"/>
          </w:tcPr>
          <w:p w14:paraId="0E75F4CA">
            <w:pPr>
              <w:widowControl/>
              <w:spacing w:line="440" w:lineRule="exact"/>
              <w:jc w:val="center"/>
              <w:textAlignment w:val="center"/>
              <w:rPr>
                <w:rFonts w:ascii="宋体" w:hAnsi="宋体" w:cs="宋体"/>
                <w:color w:val="auto"/>
                <w:kern w:val="0"/>
                <w:szCs w:val="21"/>
                <w:highlight w:val="none"/>
              </w:rPr>
            </w:pPr>
            <w:r>
              <w:rPr>
                <w:rFonts w:hint="eastAsia" w:ascii="宋体" w:hAnsi="宋体" w:cs="宋体"/>
                <w:color w:val="auto"/>
                <w:kern w:val="0"/>
                <w:szCs w:val="21"/>
                <w:highlight w:val="none"/>
              </w:rPr>
              <w:t>台</w:t>
            </w:r>
          </w:p>
        </w:tc>
        <w:tc>
          <w:tcPr>
            <w:tcW w:w="1500" w:type="dxa"/>
            <w:tcBorders>
              <w:top w:val="single" w:color="000000" w:sz="8" w:space="0"/>
              <w:left w:val="single" w:color="000000" w:sz="8" w:space="0"/>
              <w:bottom w:val="single" w:color="000000" w:sz="8" w:space="0"/>
              <w:right w:val="single" w:color="000000" w:sz="8" w:space="0"/>
            </w:tcBorders>
            <w:noWrap/>
            <w:vAlign w:val="bottom"/>
          </w:tcPr>
          <w:p w14:paraId="662939A0">
            <w:pPr>
              <w:widowControl/>
              <w:spacing w:line="440" w:lineRule="exact"/>
              <w:jc w:val="center"/>
              <w:textAlignment w:val="bottom"/>
              <w:rPr>
                <w:rFonts w:ascii="宋体" w:hAnsi="宋体" w:cs="宋体"/>
                <w:color w:val="auto"/>
                <w:kern w:val="0"/>
                <w:szCs w:val="21"/>
                <w:highlight w:val="none"/>
              </w:rPr>
            </w:pPr>
          </w:p>
        </w:tc>
        <w:tc>
          <w:tcPr>
            <w:tcW w:w="1670" w:type="dxa"/>
            <w:tcBorders>
              <w:top w:val="single" w:color="000000" w:sz="8" w:space="0"/>
              <w:left w:val="single" w:color="000000" w:sz="8" w:space="0"/>
              <w:bottom w:val="single" w:color="000000" w:sz="8" w:space="0"/>
              <w:right w:val="single" w:color="000000" w:sz="8" w:space="0"/>
            </w:tcBorders>
            <w:noWrap/>
            <w:vAlign w:val="bottom"/>
          </w:tcPr>
          <w:p w14:paraId="5122D0D4">
            <w:pPr>
              <w:widowControl/>
              <w:spacing w:line="440" w:lineRule="exact"/>
              <w:jc w:val="center"/>
              <w:textAlignment w:val="bottom"/>
              <w:rPr>
                <w:rFonts w:ascii="宋体" w:hAnsi="宋体" w:cs="宋体"/>
                <w:color w:val="auto"/>
                <w:kern w:val="0"/>
                <w:szCs w:val="21"/>
                <w:highlight w:val="none"/>
              </w:rPr>
            </w:pPr>
          </w:p>
        </w:tc>
        <w:tc>
          <w:tcPr>
            <w:tcW w:w="1350" w:type="dxa"/>
            <w:tcBorders>
              <w:top w:val="single" w:color="000000" w:sz="8" w:space="0"/>
              <w:left w:val="single" w:color="000000" w:sz="8" w:space="0"/>
              <w:bottom w:val="single" w:color="000000" w:sz="8" w:space="0"/>
              <w:right w:val="single" w:color="000000" w:sz="8" w:space="0"/>
            </w:tcBorders>
            <w:noWrap/>
            <w:vAlign w:val="bottom"/>
          </w:tcPr>
          <w:p w14:paraId="1F475701">
            <w:pPr>
              <w:widowControl/>
              <w:spacing w:line="440" w:lineRule="exact"/>
              <w:jc w:val="center"/>
              <w:textAlignment w:val="bottom"/>
              <w:rPr>
                <w:rFonts w:ascii="宋体" w:hAnsi="宋体" w:cs="宋体"/>
                <w:color w:val="auto"/>
                <w:kern w:val="0"/>
                <w:szCs w:val="21"/>
                <w:highlight w:val="none"/>
              </w:rPr>
            </w:pPr>
          </w:p>
        </w:tc>
      </w:tr>
      <w:tr w14:paraId="41A2FB86">
        <w:tblPrEx>
          <w:tblCellMar>
            <w:top w:w="0" w:type="dxa"/>
            <w:left w:w="108" w:type="dxa"/>
            <w:bottom w:w="0" w:type="dxa"/>
            <w:right w:w="108" w:type="dxa"/>
          </w:tblCellMar>
        </w:tblPrEx>
        <w:trPr>
          <w:trHeight w:val="300" w:hRule="atLeast"/>
          <w:jc w:val="center"/>
        </w:trPr>
        <w:tc>
          <w:tcPr>
            <w:tcW w:w="1080" w:type="dxa"/>
            <w:tcBorders>
              <w:top w:val="single" w:color="000000" w:sz="8" w:space="0"/>
              <w:left w:val="single" w:color="000000" w:sz="8" w:space="0"/>
              <w:bottom w:val="single" w:color="000000" w:sz="8" w:space="0"/>
              <w:right w:val="single" w:color="000000" w:sz="8" w:space="0"/>
            </w:tcBorders>
            <w:noWrap/>
            <w:vAlign w:val="center"/>
          </w:tcPr>
          <w:p w14:paraId="51B21F8E">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11</w:t>
            </w:r>
          </w:p>
        </w:tc>
        <w:tc>
          <w:tcPr>
            <w:tcW w:w="1485" w:type="dxa"/>
            <w:tcBorders>
              <w:top w:val="single" w:color="000000" w:sz="8" w:space="0"/>
              <w:left w:val="single" w:color="000000" w:sz="8" w:space="0"/>
              <w:bottom w:val="single" w:color="000000" w:sz="8" w:space="0"/>
              <w:right w:val="single" w:color="000000" w:sz="8" w:space="0"/>
            </w:tcBorders>
            <w:noWrap/>
            <w:vAlign w:val="center"/>
          </w:tcPr>
          <w:p w14:paraId="71475506">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其他....</w:t>
            </w:r>
          </w:p>
        </w:tc>
        <w:tc>
          <w:tcPr>
            <w:tcW w:w="1530" w:type="dxa"/>
            <w:tcBorders>
              <w:top w:val="single" w:color="000000" w:sz="8" w:space="0"/>
              <w:left w:val="single" w:color="000000" w:sz="8" w:space="0"/>
              <w:bottom w:val="single" w:color="000000" w:sz="8" w:space="0"/>
              <w:right w:val="single" w:color="000000" w:sz="8" w:space="0"/>
            </w:tcBorders>
            <w:noWrap/>
            <w:vAlign w:val="center"/>
          </w:tcPr>
          <w:p w14:paraId="5E95EFD0">
            <w:pPr>
              <w:spacing w:line="440" w:lineRule="exact"/>
              <w:jc w:val="center"/>
              <w:rPr>
                <w:rFonts w:ascii="宋体" w:hAnsi="宋体" w:cs="宋体"/>
                <w:b/>
                <w:bCs/>
                <w:color w:val="auto"/>
                <w:kern w:val="0"/>
                <w:szCs w:val="21"/>
                <w:highlight w:val="none"/>
              </w:rPr>
            </w:pPr>
          </w:p>
        </w:tc>
        <w:tc>
          <w:tcPr>
            <w:tcW w:w="1500" w:type="dxa"/>
            <w:tcBorders>
              <w:top w:val="single" w:color="000000" w:sz="8" w:space="0"/>
              <w:left w:val="single" w:color="000000" w:sz="8" w:space="0"/>
              <w:bottom w:val="single" w:color="000000" w:sz="8" w:space="0"/>
              <w:right w:val="single" w:color="000000" w:sz="8" w:space="0"/>
            </w:tcBorders>
            <w:noWrap/>
            <w:vAlign w:val="center"/>
          </w:tcPr>
          <w:p w14:paraId="28811A96">
            <w:pPr>
              <w:spacing w:line="440" w:lineRule="exact"/>
              <w:jc w:val="center"/>
              <w:rPr>
                <w:rFonts w:ascii="宋体" w:hAnsi="宋体" w:cs="宋体"/>
                <w:b/>
                <w:bCs/>
                <w:color w:val="auto"/>
                <w:kern w:val="0"/>
                <w:szCs w:val="21"/>
                <w:highlight w:val="none"/>
              </w:rPr>
            </w:pPr>
          </w:p>
        </w:tc>
        <w:tc>
          <w:tcPr>
            <w:tcW w:w="1670" w:type="dxa"/>
            <w:tcBorders>
              <w:top w:val="single" w:color="000000" w:sz="8" w:space="0"/>
              <w:left w:val="single" w:color="000000" w:sz="8" w:space="0"/>
              <w:bottom w:val="single" w:color="000000" w:sz="8" w:space="0"/>
              <w:right w:val="single" w:color="000000" w:sz="8" w:space="0"/>
            </w:tcBorders>
            <w:noWrap/>
            <w:vAlign w:val="center"/>
          </w:tcPr>
          <w:p w14:paraId="3BACBB64">
            <w:pPr>
              <w:spacing w:line="440" w:lineRule="exact"/>
              <w:jc w:val="center"/>
              <w:rPr>
                <w:rFonts w:ascii="宋体" w:hAnsi="宋体" w:cs="宋体"/>
                <w:b/>
                <w:bCs/>
                <w:color w:val="auto"/>
                <w:kern w:val="0"/>
                <w:szCs w:val="21"/>
                <w:highlight w:val="none"/>
              </w:rPr>
            </w:pPr>
          </w:p>
        </w:tc>
        <w:tc>
          <w:tcPr>
            <w:tcW w:w="1350" w:type="dxa"/>
            <w:tcBorders>
              <w:top w:val="single" w:color="000000" w:sz="8" w:space="0"/>
              <w:left w:val="single" w:color="000000" w:sz="8" w:space="0"/>
              <w:bottom w:val="single" w:color="000000" w:sz="8" w:space="0"/>
              <w:right w:val="single" w:color="000000" w:sz="8" w:space="0"/>
            </w:tcBorders>
            <w:noWrap/>
            <w:vAlign w:val="bottom"/>
          </w:tcPr>
          <w:p w14:paraId="779F2A3E">
            <w:pPr>
              <w:widowControl/>
              <w:spacing w:line="440" w:lineRule="exact"/>
              <w:jc w:val="center"/>
              <w:textAlignment w:val="bottom"/>
              <w:rPr>
                <w:rFonts w:ascii="宋体" w:hAnsi="宋体" w:cs="宋体"/>
                <w:b/>
                <w:bCs/>
                <w:color w:val="auto"/>
                <w:kern w:val="0"/>
                <w:szCs w:val="21"/>
                <w:highlight w:val="none"/>
              </w:rPr>
            </w:pPr>
          </w:p>
        </w:tc>
      </w:tr>
      <w:tr w14:paraId="772335F5">
        <w:tblPrEx>
          <w:tblCellMar>
            <w:top w:w="0" w:type="dxa"/>
            <w:left w:w="108" w:type="dxa"/>
            <w:bottom w:w="0" w:type="dxa"/>
            <w:right w:w="108" w:type="dxa"/>
          </w:tblCellMar>
        </w:tblPrEx>
        <w:trPr>
          <w:trHeight w:val="300" w:hRule="atLeast"/>
          <w:jc w:val="center"/>
        </w:trPr>
        <w:tc>
          <w:tcPr>
            <w:tcW w:w="1080" w:type="dxa"/>
            <w:tcBorders>
              <w:top w:val="single" w:color="000000" w:sz="8" w:space="0"/>
              <w:left w:val="single" w:color="000000" w:sz="8" w:space="0"/>
              <w:bottom w:val="single" w:color="000000" w:sz="8" w:space="0"/>
              <w:right w:val="single" w:color="000000" w:sz="8" w:space="0"/>
            </w:tcBorders>
            <w:noWrap/>
            <w:vAlign w:val="center"/>
          </w:tcPr>
          <w:p w14:paraId="1CB9FB24">
            <w:pPr>
              <w:spacing w:line="440" w:lineRule="exact"/>
              <w:jc w:val="center"/>
              <w:rPr>
                <w:rFonts w:ascii="宋体" w:hAnsi="宋体" w:cs="宋体"/>
                <w:b/>
                <w:bCs/>
                <w:color w:val="auto"/>
                <w:kern w:val="0"/>
                <w:szCs w:val="21"/>
                <w:highlight w:val="none"/>
              </w:rPr>
            </w:pPr>
          </w:p>
        </w:tc>
        <w:tc>
          <w:tcPr>
            <w:tcW w:w="1485" w:type="dxa"/>
            <w:tcBorders>
              <w:top w:val="single" w:color="000000" w:sz="8" w:space="0"/>
              <w:left w:val="single" w:color="000000" w:sz="8" w:space="0"/>
              <w:bottom w:val="single" w:color="000000" w:sz="8" w:space="0"/>
              <w:right w:val="single" w:color="000000" w:sz="8" w:space="0"/>
            </w:tcBorders>
            <w:noWrap/>
            <w:vAlign w:val="center"/>
          </w:tcPr>
          <w:p w14:paraId="6F21B245">
            <w:pPr>
              <w:spacing w:line="44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合计</w:t>
            </w:r>
          </w:p>
        </w:tc>
        <w:tc>
          <w:tcPr>
            <w:tcW w:w="1530" w:type="dxa"/>
            <w:tcBorders>
              <w:top w:val="single" w:color="000000" w:sz="8" w:space="0"/>
              <w:left w:val="single" w:color="000000" w:sz="8" w:space="0"/>
              <w:bottom w:val="single" w:color="000000" w:sz="8" w:space="0"/>
              <w:right w:val="single" w:color="000000" w:sz="8" w:space="0"/>
            </w:tcBorders>
            <w:noWrap/>
            <w:vAlign w:val="center"/>
          </w:tcPr>
          <w:p w14:paraId="32CD6087">
            <w:pPr>
              <w:spacing w:line="440" w:lineRule="exact"/>
              <w:jc w:val="center"/>
              <w:rPr>
                <w:rFonts w:ascii="宋体" w:hAnsi="宋体" w:cs="宋体"/>
                <w:b/>
                <w:bCs/>
                <w:color w:val="auto"/>
                <w:kern w:val="0"/>
                <w:szCs w:val="21"/>
                <w:highlight w:val="none"/>
              </w:rPr>
            </w:pPr>
          </w:p>
        </w:tc>
        <w:tc>
          <w:tcPr>
            <w:tcW w:w="1500" w:type="dxa"/>
            <w:tcBorders>
              <w:top w:val="single" w:color="000000" w:sz="8" w:space="0"/>
              <w:left w:val="single" w:color="000000" w:sz="8" w:space="0"/>
              <w:bottom w:val="single" w:color="000000" w:sz="8" w:space="0"/>
              <w:right w:val="single" w:color="000000" w:sz="8" w:space="0"/>
            </w:tcBorders>
            <w:noWrap/>
            <w:vAlign w:val="center"/>
          </w:tcPr>
          <w:p w14:paraId="2FCA4816">
            <w:pPr>
              <w:spacing w:line="440" w:lineRule="exact"/>
              <w:jc w:val="center"/>
              <w:rPr>
                <w:rFonts w:ascii="宋体" w:hAnsi="宋体" w:cs="宋体"/>
                <w:b/>
                <w:bCs/>
                <w:color w:val="auto"/>
                <w:kern w:val="0"/>
                <w:szCs w:val="21"/>
                <w:highlight w:val="none"/>
              </w:rPr>
            </w:pPr>
          </w:p>
        </w:tc>
        <w:tc>
          <w:tcPr>
            <w:tcW w:w="1670" w:type="dxa"/>
            <w:tcBorders>
              <w:top w:val="single" w:color="000000" w:sz="8" w:space="0"/>
              <w:left w:val="single" w:color="000000" w:sz="8" w:space="0"/>
              <w:bottom w:val="single" w:color="000000" w:sz="8" w:space="0"/>
              <w:right w:val="single" w:color="000000" w:sz="8" w:space="0"/>
            </w:tcBorders>
            <w:noWrap/>
            <w:vAlign w:val="center"/>
          </w:tcPr>
          <w:p w14:paraId="47E367B4">
            <w:pPr>
              <w:spacing w:line="440" w:lineRule="exact"/>
              <w:jc w:val="center"/>
              <w:rPr>
                <w:rFonts w:ascii="宋体" w:hAnsi="宋体" w:cs="宋体"/>
                <w:b/>
                <w:bCs/>
                <w:color w:val="auto"/>
                <w:kern w:val="0"/>
                <w:szCs w:val="21"/>
                <w:highlight w:val="none"/>
              </w:rPr>
            </w:pPr>
          </w:p>
        </w:tc>
        <w:tc>
          <w:tcPr>
            <w:tcW w:w="1350" w:type="dxa"/>
            <w:tcBorders>
              <w:top w:val="single" w:color="000000" w:sz="8" w:space="0"/>
              <w:left w:val="single" w:color="000000" w:sz="8" w:space="0"/>
              <w:bottom w:val="single" w:color="000000" w:sz="8" w:space="0"/>
              <w:right w:val="single" w:color="000000" w:sz="8" w:space="0"/>
            </w:tcBorders>
            <w:noWrap/>
            <w:vAlign w:val="bottom"/>
          </w:tcPr>
          <w:p w14:paraId="51692FF6">
            <w:pPr>
              <w:widowControl/>
              <w:spacing w:line="440" w:lineRule="exact"/>
              <w:jc w:val="center"/>
              <w:textAlignment w:val="bottom"/>
              <w:rPr>
                <w:rFonts w:ascii="宋体" w:hAnsi="宋体" w:cs="宋体"/>
                <w:b/>
                <w:bCs/>
                <w:color w:val="auto"/>
                <w:kern w:val="0"/>
                <w:szCs w:val="21"/>
                <w:highlight w:val="none"/>
              </w:rPr>
            </w:pPr>
          </w:p>
        </w:tc>
      </w:tr>
    </w:tbl>
    <w:p w14:paraId="34F309BA">
      <w:pPr>
        <w:pStyle w:val="13"/>
        <w:spacing w:line="440" w:lineRule="exact"/>
        <w:rPr>
          <w:rFonts w:hAnsi="宋体" w:cs="宋体"/>
          <w:b/>
          <w:bCs/>
          <w:color w:val="auto"/>
          <w:sz w:val="24"/>
          <w:szCs w:val="24"/>
          <w:highlight w:val="none"/>
        </w:rPr>
      </w:pPr>
    </w:p>
    <w:p w14:paraId="52F50C4B">
      <w:pPr>
        <w:pStyle w:val="13"/>
        <w:spacing w:line="440" w:lineRule="exact"/>
        <w:rPr>
          <w:rFonts w:hAnsi="宋体" w:cs="宋体"/>
          <w:b/>
          <w:bCs/>
          <w:color w:val="auto"/>
          <w:sz w:val="24"/>
          <w:szCs w:val="24"/>
          <w:highlight w:val="none"/>
        </w:rPr>
      </w:pPr>
      <w:r>
        <w:rPr>
          <w:rFonts w:hint="eastAsia" w:hAnsi="宋体" w:cs="宋体"/>
          <w:b/>
          <w:bCs/>
          <w:color w:val="auto"/>
          <w:sz w:val="24"/>
          <w:szCs w:val="24"/>
          <w:highlight w:val="none"/>
        </w:rPr>
        <w:t>说明：1、数量*单价=总价，办公费用明细不全的，可在其他项目中自行展开添加，表格所列内容均需填报，如漏报，则视为让利，物业管理过程中如实际需要</w:t>
      </w:r>
      <w:r>
        <w:rPr>
          <w:rFonts w:hint="eastAsia" w:hAnsi="宋体" w:cs="宋体"/>
          <w:b/>
          <w:bCs/>
          <w:color w:val="auto"/>
          <w:sz w:val="24"/>
          <w:szCs w:val="24"/>
          <w:highlight w:val="none"/>
          <w:lang w:val="en-US" w:eastAsia="zh-CN"/>
        </w:rPr>
        <w:t>招标</w:t>
      </w:r>
      <w:r>
        <w:rPr>
          <w:rFonts w:hint="eastAsia" w:hAnsi="宋体" w:cs="宋体"/>
          <w:b/>
          <w:bCs/>
          <w:color w:val="auto"/>
          <w:sz w:val="24"/>
          <w:szCs w:val="24"/>
          <w:highlight w:val="none"/>
        </w:rPr>
        <w:t>，则甲方不再另外支付费用。</w:t>
      </w:r>
    </w:p>
    <w:p w14:paraId="6C6A3A91">
      <w:pPr>
        <w:pStyle w:val="13"/>
        <w:spacing w:line="440" w:lineRule="exact"/>
        <w:rPr>
          <w:rFonts w:hAnsi="宋体" w:cs="宋体"/>
          <w:b/>
          <w:bCs/>
          <w:color w:val="auto"/>
          <w:sz w:val="24"/>
          <w:szCs w:val="24"/>
          <w:highlight w:val="none"/>
        </w:rPr>
      </w:pPr>
    </w:p>
    <w:p w14:paraId="2C934679">
      <w:pPr>
        <w:pStyle w:val="13"/>
        <w:spacing w:line="440" w:lineRule="exact"/>
        <w:rPr>
          <w:rFonts w:hAnsi="宋体" w:cs="宋体"/>
          <w:b/>
          <w:bCs/>
          <w:color w:val="auto"/>
          <w:sz w:val="24"/>
          <w:szCs w:val="24"/>
          <w:highlight w:val="none"/>
        </w:rPr>
      </w:pPr>
    </w:p>
    <w:p w14:paraId="178A1265">
      <w:pPr>
        <w:pStyle w:val="13"/>
        <w:spacing w:line="440" w:lineRule="exact"/>
        <w:rPr>
          <w:rFonts w:hAnsi="宋体" w:cs="宋体"/>
          <w:bCs/>
          <w:color w:val="auto"/>
          <w:sz w:val="24"/>
          <w:szCs w:val="24"/>
          <w:highlight w:val="none"/>
          <w:u w:val="single"/>
        </w:rPr>
      </w:pPr>
      <w:r>
        <w:rPr>
          <w:rFonts w:hint="eastAsia" w:hAnsi="宋体" w:cs="宋体"/>
          <w:bCs/>
          <w:color w:val="auto"/>
          <w:sz w:val="24"/>
          <w:szCs w:val="24"/>
          <w:highlight w:val="none"/>
        </w:rPr>
        <w:t>投标人（</w:t>
      </w:r>
      <w:r>
        <w:rPr>
          <w:rFonts w:hint="eastAsia" w:hAnsi="宋体" w:cs="宋体"/>
          <w:bCs/>
          <w:color w:val="auto"/>
          <w:sz w:val="24"/>
          <w:szCs w:val="24"/>
          <w:highlight w:val="none"/>
          <w:lang w:eastAsia="zh-CN"/>
        </w:rPr>
        <w:t>加盖公章</w:t>
      </w:r>
      <w:r>
        <w:rPr>
          <w:rFonts w:hint="eastAsia" w:hAnsi="宋体" w:cs="宋体"/>
          <w:bCs/>
          <w:color w:val="auto"/>
          <w:sz w:val="24"/>
          <w:szCs w:val="24"/>
          <w:highlight w:val="none"/>
        </w:rPr>
        <w:t>）：</w:t>
      </w:r>
    </w:p>
    <w:p w14:paraId="74B28277">
      <w:pPr>
        <w:spacing w:line="440" w:lineRule="exact"/>
        <w:rPr>
          <w:rFonts w:ascii="宋体" w:hAnsi="宋体" w:cs="宋体"/>
          <w:bCs/>
          <w:color w:val="auto"/>
          <w:sz w:val="24"/>
          <w:highlight w:val="none"/>
        </w:rPr>
      </w:pPr>
      <w:r>
        <w:rPr>
          <w:rFonts w:hint="eastAsia" w:ascii="宋体" w:hAnsi="宋体" w:cs="宋体"/>
          <w:color w:val="auto"/>
          <w:sz w:val="24"/>
          <w:highlight w:val="none"/>
        </w:rPr>
        <w:t>法定代表人（签字或盖章）：</w:t>
      </w:r>
    </w:p>
    <w:p w14:paraId="517BCF20">
      <w:pPr>
        <w:widowControl/>
        <w:spacing w:line="440" w:lineRule="exact"/>
        <w:rPr>
          <w:rFonts w:ascii="宋体" w:hAnsi="宋体" w:cs="宋体"/>
          <w:bCs/>
          <w:color w:val="auto"/>
          <w:kern w:val="0"/>
          <w:sz w:val="24"/>
          <w:highlight w:val="none"/>
          <w:u w:val="single"/>
        </w:rPr>
      </w:pPr>
      <w:r>
        <w:rPr>
          <w:rFonts w:hint="eastAsia" w:ascii="宋体" w:hAnsi="宋体" w:cs="宋体"/>
          <w:bCs/>
          <w:color w:val="auto"/>
          <w:kern w:val="0"/>
          <w:sz w:val="24"/>
          <w:highlight w:val="none"/>
        </w:rPr>
        <w:t>日     期：</w:t>
      </w:r>
    </w:p>
    <w:p w14:paraId="06F301B3">
      <w:pPr>
        <w:pStyle w:val="21"/>
        <w:ind w:left="0" w:leftChars="0" w:firstLine="0" w:firstLineChars="0"/>
        <w:rPr>
          <w:rFonts w:hint="eastAsia" w:ascii="宋体" w:hAnsi="宋体" w:eastAsia="宋体"/>
          <w:color w:val="auto"/>
          <w:highlight w:val="none"/>
          <w:lang w:eastAsia="zh-CN"/>
        </w:rPr>
      </w:pPr>
    </w:p>
    <w:p w14:paraId="28C4027D">
      <w:pPr>
        <w:rPr>
          <w:rFonts w:ascii="宋体" w:hAnsi="宋体"/>
          <w:color w:val="auto"/>
          <w:highlight w:val="none"/>
        </w:rPr>
      </w:pPr>
    </w:p>
    <w:p w14:paraId="3FB15A3C">
      <w:pPr>
        <w:spacing w:line="360" w:lineRule="auto"/>
        <w:ind w:right="74" w:firstLine="4176" w:firstLineChars="1300"/>
        <w:jc w:val="left"/>
        <w:rPr>
          <w:rFonts w:ascii="宋体" w:hAnsi="宋体" w:cs="宋体"/>
          <w:color w:val="auto"/>
          <w:sz w:val="24"/>
          <w:szCs w:val="24"/>
          <w:highlight w:val="none"/>
        </w:rPr>
      </w:pPr>
      <w:r>
        <w:rPr>
          <w:rFonts w:hint="eastAsia" w:ascii="宋体" w:hAnsi="宋体" w:cs="宋体"/>
          <w:b/>
          <w:color w:val="auto"/>
          <w:sz w:val="32"/>
          <w:szCs w:val="32"/>
          <w:highlight w:val="none"/>
        </w:rPr>
        <w:t>第</w:t>
      </w:r>
      <w:r>
        <w:rPr>
          <w:rFonts w:hint="eastAsia" w:ascii="宋体" w:hAnsi="宋体" w:cs="宋体"/>
          <w:b/>
          <w:color w:val="auto"/>
          <w:sz w:val="32"/>
          <w:szCs w:val="32"/>
          <w:highlight w:val="none"/>
          <w:lang w:val="en-US" w:eastAsia="zh-CN"/>
        </w:rPr>
        <w:t>五</w:t>
      </w:r>
      <w:r>
        <w:rPr>
          <w:rFonts w:hint="eastAsia" w:ascii="宋体" w:hAnsi="宋体" w:cs="宋体"/>
          <w:b/>
          <w:color w:val="auto"/>
          <w:sz w:val="32"/>
          <w:szCs w:val="32"/>
          <w:highlight w:val="none"/>
        </w:rPr>
        <w:t>部分</w:t>
      </w:r>
    </w:p>
    <w:p w14:paraId="4897D707">
      <w:pPr>
        <w:rPr>
          <w:rFonts w:ascii="宋体" w:hAnsi="宋体" w:cs="宋体"/>
          <w:color w:val="auto"/>
          <w:kern w:val="0"/>
          <w:sz w:val="28"/>
          <w:szCs w:val="28"/>
          <w:highlight w:val="none"/>
        </w:rPr>
      </w:pPr>
      <w:r>
        <w:rPr>
          <w:rFonts w:hint="eastAsia" w:ascii="宋体" w:hAnsi="宋体" w:cs="宋体"/>
          <w:color w:val="auto"/>
          <w:kern w:val="0"/>
          <w:sz w:val="28"/>
          <w:szCs w:val="28"/>
          <w:highlight w:val="none"/>
        </w:rPr>
        <w:t>合同编号</w:t>
      </w:r>
    </w:p>
    <w:p w14:paraId="37F83174">
      <w:pPr>
        <w:widowControl/>
        <w:spacing w:line="440" w:lineRule="exact"/>
        <w:rPr>
          <w:rFonts w:ascii="宋体" w:hAnsi="宋体" w:cs="宋体"/>
          <w:color w:val="auto"/>
          <w:kern w:val="0"/>
          <w:sz w:val="28"/>
          <w:szCs w:val="28"/>
          <w:highlight w:val="none"/>
        </w:rPr>
      </w:pPr>
    </w:p>
    <w:p w14:paraId="0CB3C133">
      <w:pPr>
        <w:widowControl/>
        <w:spacing w:line="440" w:lineRule="exact"/>
        <w:rPr>
          <w:rFonts w:ascii="宋体" w:hAnsi="宋体" w:cs="宋体"/>
          <w:color w:val="auto"/>
          <w:kern w:val="0"/>
          <w:sz w:val="28"/>
          <w:szCs w:val="28"/>
          <w:highlight w:val="none"/>
        </w:rPr>
      </w:pPr>
    </w:p>
    <w:p w14:paraId="0880EEEF">
      <w:pPr>
        <w:widowControl/>
        <w:spacing w:line="440" w:lineRule="exact"/>
        <w:rPr>
          <w:rFonts w:ascii="宋体" w:hAnsi="宋体" w:cs="宋体"/>
          <w:color w:val="auto"/>
          <w:kern w:val="0"/>
          <w:sz w:val="28"/>
          <w:szCs w:val="28"/>
          <w:highlight w:val="none"/>
        </w:rPr>
      </w:pPr>
    </w:p>
    <w:p w14:paraId="12F4EC54">
      <w:pPr>
        <w:widowControl/>
        <w:spacing w:line="440" w:lineRule="exact"/>
        <w:jc w:val="center"/>
        <w:rPr>
          <w:rFonts w:ascii="宋体" w:hAnsi="宋体" w:cs="宋体"/>
          <w:color w:val="auto"/>
          <w:kern w:val="0"/>
          <w:sz w:val="44"/>
          <w:szCs w:val="44"/>
          <w:highlight w:val="none"/>
        </w:rPr>
      </w:pPr>
      <w:r>
        <w:rPr>
          <w:rFonts w:hint="eastAsia" w:ascii="宋体" w:hAnsi="宋体" w:cs="宋体"/>
          <w:color w:val="auto"/>
          <w:kern w:val="0"/>
          <w:sz w:val="44"/>
          <w:szCs w:val="44"/>
          <w:highlight w:val="none"/>
        </w:rPr>
        <w:t>前期物业管理合同</w:t>
      </w:r>
    </w:p>
    <w:p w14:paraId="7345CBBD">
      <w:pPr>
        <w:widowControl/>
        <w:spacing w:line="440" w:lineRule="exact"/>
        <w:rPr>
          <w:rFonts w:ascii="宋体" w:hAnsi="宋体" w:cs="宋体"/>
          <w:color w:val="auto"/>
          <w:kern w:val="0"/>
          <w:highlight w:val="none"/>
        </w:rPr>
      </w:pPr>
    </w:p>
    <w:p w14:paraId="0D881698">
      <w:pPr>
        <w:widowControl/>
        <w:spacing w:line="440" w:lineRule="exact"/>
        <w:rPr>
          <w:rFonts w:ascii="宋体" w:hAnsi="宋体" w:cs="宋体"/>
          <w:color w:val="auto"/>
          <w:kern w:val="0"/>
          <w:highlight w:val="none"/>
        </w:rPr>
      </w:pPr>
    </w:p>
    <w:p w14:paraId="110726F6">
      <w:pPr>
        <w:widowControl/>
        <w:spacing w:line="440" w:lineRule="exact"/>
        <w:rPr>
          <w:rFonts w:ascii="宋体" w:hAnsi="宋体" w:cs="宋体"/>
          <w:color w:val="auto"/>
          <w:kern w:val="0"/>
          <w:highlight w:val="none"/>
        </w:rPr>
      </w:pPr>
    </w:p>
    <w:p w14:paraId="4186EB76">
      <w:pPr>
        <w:widowControl/>
        <w:spacing w:line="440" w:lineRule="exact"/>
        <w:rPr>
          <w:rFonts w:ascii="宋体" w:hAnsi="宋体" w:cs="宋体"/>
          <w:color w:val="auto"/>
          <w:kern w:val="0"/>
          <w:highlight w:val="none"/>
        </w:rPr>
      </w:pPr>
    </w:p>
    <w:p w14:paraId="3C1AB097">
      <w:pPr>
        <w:widowControl/>
        <w:spacing w:line="440" w:lineRule="exact"/>
        <w:rPr>
          <w:rFonts w:ascii="宋体" w:hAnsi="宋体" w:cs="宋体"/>
          <w:color w:val="auto"/>
          <w:kern w:val="0"/>
          <w:highlight w:val="none"/>
        </w:rPr>
      </w:pPr>
    </w:p>
    <w:p w14:paraId="7EE7FC97">
      <w:pPr>
        <w:widowControl/>
        <w:spacing w:line="440" w:lineRule="exact"/>
        <w:rPr>
          <w:rFonts w:ascii="宋体" w:hAnsi="宋体" w:cs="宋体"/>
          <w:color w:val="auto"/>
          <w:kern w:val="0"/>
          <w:highlight w:val="none"/>
        </w:rPr>
      </w:pPr>
    </w:p>
    <w:p w14:paraId="35084A3F">
      <w:pPr>
        <w:widowControl/>
        <w:spacing w:line="440" w:lineRule="exact"/>
        <w:rPr>
          <w:rFonts w:ascii="宋体" w:hAnsi="宋体" w:cs="宋体"/>
          <w:color w:val="auto"/>
          <w:kern w:val="0"/>
          <w:highlight w:val="none"/>
        </w:rPr>
      </w:pPr>
    </w:p>
    <w:p w14:paraId="09B2F5B9">
      <w:pPr>
        <w:widowControl/>
        <w:spacing w:line="440" w:lineRule="exact"/>
        <w:rPr>
          <w:rFonts w:ascii="宋体" w:hAnsi="宋体" w:cs="宋体"/>
          <w:color w:val="auto"/>
          <w:kern w:val="0"/>
          <w:highlight w:val="none"/>
        </w:rPr>
      </w:pPr>
    </w:p>
    <w:p w14:paraId="7140D399">
      <w:pPr>
        <w:widowControl/>
        <w:spacing w:line="440" w:lineRule="exact"/>
        <w:rPr>
          <w:rFonts w:ascii="宋体" w:hAnsi="宋体" w:cs="宋体"/>
          <w:color w:val="auto"/>
          <w:kern w:val="0"/>
          <w:highlight w:val="none"/>
        </w:rPr>
      </w:pPr>
    </w:p>
    <w:p w14:paraId="1DA5DCF9">
      <w:pPr>
        <w:widowControl/>
        <w:spacing w:line="440" w:lineRule="exact"/>
        <w:rPr>
          <w:rFonts w:ascii="宋体" w:hAnsi="宋体" w:cs="宋体"/>
          <w:color w:val="auto"/>
          <w:kern w:val="0"/>
          <w:highlight w:val="none"/>
        </w:rPr>
      </w:pPr>
    </w:p>
    <w:p w14:paraId="2E337CE5">
      <w:pPr>
        <w:widowControl/>
        <w:spacing w:line="440" w:lineRule="exact"/>
        <w:rPr>
          <w:rFonts w:ascii="宋体" w:hAnsi="宋体" w:cs="宋体"/>
          <w:color w:val="auto"/>
          <w:kern w:val="0"/>
          <w:highlight w:val="none"/>
        </w:rPr>
      </w:pPr>
    </w:p>
    <w:p w14:paraId="6E3184DD">
      <w:pPr>
        <w:widowControl/>
        <w:spacing w:line="440" w:lineRule="exact"/>
        <w:rPr>
          <w:rFonts w:ascii="宋体" w:hAnsi="宋体" w:cs="宋体"/>
          <w:color w:val="auto"/>
          <w:kern w:val="0"/>
          <w:highlight w:val="none"/>
        </w:rPr>
      </w:pPr>
    </w:p>
    <w:p w14:paraId="67B63428">
      <w:pPr>
        <w:widowControl/>
        <w:spacing w:line="440" w:lineRule="exact"/>
        <w:rPr>
          <w:rFonts w:ascii="宋体" w:hAnsi="宋体" w:cs="宋体"/>
          <w:color w:val="auto"/>
          <w:kern w:val="0"/>
          <w:highlight w:val="none"/>
        </w:rPr>
      </w:pPr>
    </w:p>
    <w:p w14:paraId="09DBB63C">
      <w:pPr>
        <w:widowControl/>
        <w:spacing w:line="440" w:lineRule="exact"/>
        <w:rPr>
          <w:rFonts w:ascii="宋体" w:hAnsi="宋体" w:cs="宋体"/>
          <w:color w:val="auto"/>
          <w:kern w:val="0"/>
          <w:highlight w:val="none"/>
        </w:rPr>
      </w:pPr>
    </w:p>
    <w:p w14:paraId="54D7E789">
      <w:pPr>
        <w:widowControl/>
        <w:spacing w:line="440" w:lineRule="exact"/>
        <w:rPr>
          <w:rFonts w:ascii="宋体" w:hAnsi="宋体" w:cs="宋体"/>
          <w:color w:val="auto"/>
          <w:kern w:val="0"/>
          <w:highlight w:val="none"/>
        </w:rPr>
      </w:pPr>
    </w:p>
    <w:p w14:paraId="72061B5A">
      <w:pPr>
        <w:widowControl/>
        <w:spacing w:line="440" w:lineRule="exact"/>
        <w:rPr>
          <w:rFonts w:ascii="宋体" w:hAnsi="宋体" w:cs="宋体"/>
          <w:color w:val="auto"/>
          <w:kern w:val="0"/>
          <w:highlight w:val="none"/>
        </w:rPr>
      </w:pPr>
    </w:p>
    <w:p w14:paraId="4566D268">
      <w:pPr>
        <w:widowControl/>
        <w:spacing w:line="440" w:lineRule="exac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 xml:space="preserve">  开发建设单位(甲方):</w:t>
      </w:r>
    </w:p>
    <w:p w14:paraId="134D9336">
      <w:pPr>
        <w:widowControl/>
        <w:spacing w:line="440" w:lineRule="exact"/>
        <w:rPr>
          <w:rFonts w:ascii="宋体" w:hAnsi="宋体" w:cs="宋体"/>
          <w:color w:val="auto"/>
          <w:kern w:val="0"/>
          <w:sz w:val="28"/>
          <w:szCs w:val="28"/>
          <w:highlight w:val="none"/>
          <w:u w:val="single"/>
        </w:rPr>
      </w:pPr>
      <w:r>
        <w:rPr>
          <w:rFonts w:hint="eastAsia" w:ascii="宋体" w:hAnsi="宋体" w:cs="宋体"/>
          <w:color w:val="auto"/>
          <w:kern w:val="0"/>
          <w:sz w:val="28"/>
          <w:szCs w:val="28"/>
          <w:highlight w:val="none"/>
        </w:rPr>
        <w:t xml:space="preserve">  物业服务企业(乙方):</w:t>
      </w:r>
    </w:p>
    <w:p w14:paraId="45E2E070">
      <w:pPr>
        <w:widowControl/>
        <w:spacing w:line="440" w:lineRule="exact"/>
        <w:rPr>
          <w:rFonts w:ascii="宋体" w:hAnsi="宋体" w:cs="宋体"/>
          <w:color w:val="auto"/>
          <w:kern w:val="0"/>
          <w:sz w:val="28"/>
          <w:szCs w:val="28"/>
          <w:highlight w:val="none"/>
          <w:u w:val="single"/>
        </w:rPr>
      </w:pPr>
    </w:p>
    <w:p w14:paraId="1162A01D">
      <w:pPr>
        <w:widowControl/>
        <w:spacing w:line="440" w:lineRule="exact"/>
        <w:rPr>
          <w:rFonts w:ascii="宋体" w:hAnsi="宋体" w:cs="宋体"/>
          <w:color w:val="auto"/>
          <w:kern w:val="0"/>
          <w:sz w:val="28"/>
          <w:szCs w:val="28"/>
          <w:highlight w:val="none"/>
          <w:u w:val="single"/>
        </w:rPr>
      </w:pPr>
    </w:p>
    <w:p w14:paraId="2714F7C5">
      <w:pPr>
        <w:widowControl/>
        <w:spacing w:line="440" w:lineRule="exact"/>
        <w:rPr>
          <w:rFonts w:ascii="宋体" w:hAnsi="宋体" w:cs="宋体"/>
          <w:color w:val="auto"/>
          <w:kern w:val="0"/>
          <w:sz w:val="28"/>
          <w:szCs w:val="28"/>
          <w:highlight w:val="none"/>
          <w:u w:val="single"/>
        </w:rPr>
      </w:pPr>
    </w:p>
    <w:p w14:paraId="4AD17613">
      <w:pPr>
        <w:widowControl/>
        <w:spacing w:line="440" w:lineRule="exact"/>
        <w:rPr>
          <w:rFonts w:ascii="宋体" w:hAnsi="宋体" w:cs="宋体"/>
          <w:color w:val="auto"/>
          <w:kern w:val="0"/>
          <w:sz w:val="28"/>
          <w:szCs w:val="28"/>
          <w:highlight w:val="none"/>
          <w:u w:val="single"/>
        </w:rPr>
      </w:pPr>
    </w:p>
    <w:p w14:paraId="63DE27ED">
      <w:pPr>
        <w:widowControl/>
        <w:spacing w:line="440" w:lineRule="exact"/>
        <w:rPr>
          <w:rFonts w:ascii="宋体" w:hAnsi="宋体" w:cs="宋体"/>
          <w:color w:val="auto"/>
          <w:kern w:val="0"/>
          <w:sz w:val="28"/>
          <w:szCs w:val="28"/>
          <w:highlight w:val="none"/>
          <w:u w:val="single"/>
        </w:rPr>
      </w:pPr>
    </w:p>
    <w:p w14:paraId="7501E53D">
      <w:pPr>
        <w:widowControl/>
        <w:spacing w:line="440" w:lineRule="exact"/>
        <w:rPr>
          <w:rFonts w:ascii="宋体" w:hAnsi="宋体" w:cs="宋体"/>
          <w:color w:val="auto"/>
          <w:kern w:val="0"/>
          <w:sz w:val="28"/>
          <w:szCs w:val="28"/>
          <w:highlight w:val="none"/>
        </w:rPr>
      </w:pPr>
    </w:p>
    <w:p w14:paraId="0A37FCAF">
      <w:pPr>
        <w:spacing w:line="440" w:lineRule="exact"/>
        <w:rPr>
          <w:rFonts w:cs="宋体" w:asciiTheme="minorEastAsia" w:hAnsiTheme="minorEastAsia" w:eastAsiaTheme="minorEastAsia"/>
          <w:color w:val="auto"/>
          <w:kern w:val="0"/>
          <w:sz w:val="24"/>
          <w:highlight w:val="none"/>
        </w:rPr>
      </w:pPr>
      <w:r>
        <w:rPr>
          <w:rFonts w:hint="eastAsia" w:ascii="宋体" w:hAnsi="宋体" w:cs="宋体"/>
          <w:color w:val="auto"/>
          <w:kern w:val="0"/>
          <w:sz w:val="28"/>
          <w:szCs w:val="28"/>
          <w:highlight w:val="none"/>
        </w:rPr>
        <w:br w:type="page"/>
      </w:r>
    </w:p>
    <w:p w14:paraId="539C8A99">
      <w:pPr>
        <w:widowControl/>
        <w:spacing w:line="440" w:lineRule="exact"/>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前期物业服务合同</w:t>
      </w:r>
    </w:p>
    <w:p w14:paraId="7CC03EA7">
      <w:pPr>
        <w:widowControl/>
        <w:spacing w:line="440" w:lineRule="exact"/>
        <w:rPr>
          <w:rFonts w:hint="eastAsia" w:ascii="宋体" w:hAnsi="宋体" w:eastAsia="宋体" w:cs="宋体"/>
          <w:color w:val="auto"/>
          <w:kern w:val="0"/>
          <w:sz w:val="24"/>
          <w:highlight w:val="none"/>
        </w:rPr>
      </w:pPr>
    </w:p>
    <w:p w14:paraId="4AF74492">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8"/>
          <w:szCs w:val="28"/>
          <w:highlight w:val="none"/>
        </w:rPr>
        <w:t>甲方:</w:t>
      </w:r>
      <w:r>
        <w:rPr>
          <w:rFonts w:hint="eastAsia" w:ascii="宋体" w:hAnsi="宋体" w:eastAsia="宋体" w:cs="宋体"/>
          <w:color w:val="auto"/>
          <w:sz w:val="28"/>
          <w:szCs w:val="28"/>
          <w:highlight w:val="none"/>
          <w:u w:val="single"/>
          <w:lang w:eastAsia="zh-CN"/>
        </w:rPr>
        <w:t>如东县欣荣城镇开发建设有限公司</w:t>
      </w:r>
    </w:p>
    <w:p w14:paraId="633DB8B2">
      <w:pPr>
        <w:widowControl/>
        <w:spacing w:line="440" w:lineRule="exact"/>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乙方：</w:t>
      </w:r>
      <w:r>
        <w:rPr>
          <w:rFonts w:hint="eastAsia" w:ascii="宋体" w:hAnsi="宋体" w:eastAsia="宋体" w:cs="宋体"/>
          <w:color w:val="auto"/>
          <w:kern w:val="0"/>
          <w:sz w:val="24"/>
          <w:highlight w:val="none"/>
        </w:rPr>
        <w:t>(物业管理企业)</w:t>
      </w:r>
    </w:p>
    <w:p w14:paraId="363F5F47">
      <w:pPr>
        <w:widowControl/>
        <w:spacing w:line="440" w:lineRule="exact"/>
        <w:rPr>
          <w:rFonts w:hint="eastAsia" w:ascii="宋体" w:hAnsi="宋体" w:eastAsia="宋体" w:cs="宋体"/>
          <w:color w:val="auto"/>
          <w:kern w:val="0"/>
          <w:sz w:val="24"/>
          <w:highlight w:val="none"/>
        </w:rPr>
      </w:pPr>
    </w:p>
    <w:p w14:paraId="6D31AA59">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甲方通过(招投标/ 协议)方式将 </w:t>
      </w:r>
      <w:r>
        <w:rPr>
          <w:rFonts w:hint="eastAsia" w:ascii="宋体" w:hAnsi="宋体" w:eastAsia="宋体" w:cs="宋体"/>
          <w:color w:val="auto"/>
          <w:kern w:val="0"/>
          <w:sz w:val="24"/>
          <w:highlight w:val="none"/>
          <w:u w:val="single"/>
        </w:rPr>
        <w:t xml:space="preserve">         (物业名称)</w:t>
      </w:r>
      <w:r>
        <w:rPr>
          <w:rFonts w:hint="eastAsia" w:ascii="宋体" w:hAnsi="宋体" w:eastAsia="宋体" w:cs="宋体"/>
          <w:color w:val="auto"/>
          <w:kern w:val="0"/>
          <w:sz w:val="24"/>
          <w:highlight w:val="none"/>
        </w:rPr>
        <w:t>委托乙方实行前期物业管理。为保障本物业的正常运行，现根据《物业管理条例》和相关法律、法规、政策，在自愿、平等、协商一致的基础上，订立本合同。</w:t>
      </w:r>
    </w:p>
    <w:p w14:paraId="4630EEED">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第一条  物业基本情况:</w:t>
      </w:r>
    </w:p>
    <w:p w14:paraId="6FCEE3E4">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物业名称:</w:t>
      </w:r>
    </w:p>
    <w:p w14:paraId="47DE24CE">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物业类型:</w:t>
      </w:r>
    </w:p>
    <w:p w14:paraId="13BE6629">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座落位置:</w:t>
      </w:r>
    </w:p>
    <w:p w14:paraId="28324759">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物业管理区域四至范围:</w:t>
      </w:r>
    </w:p>
    <w:p w14:paraId="0426C7F2">
      <w:pPr>
        <w:widowControl/>
        <w:spacing w:line="44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 xml:space="preserve">东至:瑞晶商业中心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南至:横四路</w:t>
      </w:r>
    </w:p>
    <w:p w14:paraId="071A1DF8">
      <w:pPr>
        <w:widowControl/>
        <w:spacing w:line="44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 xml:space="preserve">西至:纵三路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 xml:space="preserve"> 北至:湘江路</w:t>
      </w:r>
    </w:p>
    <w:p w14:paraId="22033098">
      <w:pPr>
        <w:spacing w:line="440" w:lineRule="exact"/>
        <w:ind w:firstLine="480" w:firstLineChars="200"/>
        <w:rPr>
          <w:rFonts w:hint="eastAsia" w:ascii="宋体" w:hAnsi="宋体" w:eastAsia="宋体" w:cs="宋体"/>
          <w:b w:val="0"/>
          <w:bCs w:val="0"/>
          <w:color w:val="auto"/>
          <w:sz w:val="24"/>
          <w:highlight w:val="none"/>
          <w:u w:val="single"/>
          <w:lang w:val="en-US" w:eastAsia="zh-CN"/>
        </w:rPr>
      </w:pPr>
      <w:r>
        <w:rPr>
          <w:rFonts w:hint="eastAsia" w:ascii="宋体" w:hAnsi="宋体" w:eastAsia="宋体" w:cs="宋体"/>
          <w:b w:val="0"/>
          <w:bCs w:val="0"/>
          <w:color w:val="auto"/>
          <w:kern w:val="0"/>
          <w:sz w:val="24"/>
          <w:highlight w:val="none"/>
          <w:lang w:eastAsia="zh-CN"/>
        </w:rPr>
        <w:t>本项目</w:t>
      </w:r>
      <w:r>
        <w:rPr>
          <w:rFonts w:hint="eastAsia" w:ascii="宋体" w:hAnsi="宋体" w:eastAsia="宋体" w:cs="宋体"/>
          <w:b w:val="0"/>
          <w:bCs w:val="0"/>
          <w:color w:val="auto"/>
          <w:sz w:val="24"/>
          <w:highlight w:val="none"/>
        </w:rPr>
        <w:t>位于</w:t>
      </w:r>
      <w:r>
        <w:rPr>
          <w:rFonts w:hint="eastAsia" w:ascii="宋体" w:hAnsi="宋体" w:eastAsia="宋体" w:cs="宋体"/>
          <w:b w:val="0"/>
          <w:bCs w:val="0"/>
          <w:color w:val="auto"/>
          <w:sz w:val="24"/>
          <w:highlight w:val="none"/>
          <w:u w:val="single"/>
          <w:lang w:val="en-US" w:eastAsia="zh-CN"/>
        </w:rPr>
        <w:t xml:space="preserve">                                                                    </w:t>
      </w:r>
    </w:p>
    <w:p w14:paraId="01B2C542">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 xml:space="preserve">该项目中，住宅共 </w:t>
      </w:r>
      <w:r>
        <w:rPr>
          <w:rFonts w:hint="eastAsia" w:ascii="宋体" w:hAnsi="宋体" w:eastAsia="宋体" w:cs="宋体"/>
          <w:color w:val="auto"/>
          <w:kern w:val="0"/>
          <w:sz w:val="24"/>
          <w:highlight w:val="none"/>
          <w:u w:val="single"/>
        </w:rPr>
        <w:t xml:space="preserve">                                                        </w:t>
      </w:r>
    </w:p>
    <w:p w14:paraId="358250A4">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第二条 在本物业建设阶段，乙方前期介入提供的服务内容有: 参照有关技术规范，按照东建[2010] 24号文件规定，确定前期介入服务内容。</w:t>
      </w:r>
    </w:p>
    <w:p w14:paraId="3EF7576D">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1、以维护交房后全体业主公共权益为基本立足点，配合监理公司从不同的角度对工程质量进行监管</w:t>
      </w:r>
      <w:r>
        <w:rPr>
          <w:rFonts w:hint="eastAsia" w:ascii="宋体" w:hAnsi="宋体" w:eastAsia="宋体" w:cs="宋体"/>
          <w:color w:val="auto"/>
          <w:kern w:val="0"/>
          <w:sz w:val="24"/>
          <w:highlight w:val="none"/>
          <w:lang w:eastAsia="zh-CN"/>
        </w:rPr>
        <w:t>；</w:t>
      </w:r>
    </w:p>
    <w:p w14:paraId="73FEB498">
      <w:pPr>
        <w:pStyle w:val="9"/>
        <w:keepNext w:val="0"/>
        <w:keepLines w:val="0"/>
        <w:pageBreakBefore w:val="0"/>
        <w:kinsoku/>
        <w:wordWrap/>
        <w:overflowPunct/>
        <w:topLinePunct w:val="0"/>
        <w:autoSpaceDE/>
        <w:autoSpaceDN/>
        <w:bidi w:val="0"/>
        <w:adjustRightInd/>
        <w:snapToGrid/>
        <w:spacing w:after="0"/>
        <w:ind w:firstLine="48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2、提前参与智能化设备验收、消防、公共部位、门窗工程及给排水工程关键节点的验收工作</w:t>
      </w:r>
    </w:p>
    <w:p w14:paraId="2EE8C736">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、配合开发企业，做好安置房安置与物业管理的衔接；</w:t>
      </w:r>
    </w:p>
    <w:p w14:paraId="323179F3">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、业主入住时的交房、验房及相关书面告知和签字手续的准备和办理</w:t>
      </w:r>
      <w:r>
        <w:rPr>
          <w:rFonts w:hint="eastAsia" w:ascii="宋体" w:hAnsi="宋体" w:eastAsia="宋体" w:cs="宋体"/>
          <w:color w:val="auto"/>
          <w:kern w:val="0"/>
          <w:sz w:val="24"/>
          <w:highlight w:val="none"/>
          <w:lang w:eastAsia="zh-CN"/>
        </w:rPr>
        <w:t>；</w:t>
      </w:r>
    </w:p>
    <w:p w14:paraId="2D446886">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5</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交房期间，物业</w:t>
      </w:r>
      <w:r>
        <w:rPr>
          <w:rFonts w:hint="eastAsia" w:ascii="宋体" w:hAnsi="宋体" w:eastAsia="宋体" w:cs="宋体"/>
          <w:color w:val="auto"/>
          <w:kern w:val="0"/>
          <w:sz w:val="24"/>
          <w:highlight w:val="none"/>
        </w:rPr>
        <w:t>中心及周边场地保洁、秩序维护(含车辆管理)；</w:t>
      </w:r>
    </w:p>
    <w:p w14:paraId="2C260283">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、物业的品牌宣传及门招的管理；</w:t>
      </w:r>
    </w:p>
    <w:p w14:paraId="0121173F">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、配合开发企业做好物业的全面查验、移交、接管工作:</w:t>
      </w:r>
    </w:p>
    <w:p w14:paraId="258700E1">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8</w:t>
      </w:r>
      <w:r>
        <w:rPr>
          <w:rFonts w:hint="eastAsia" w:ascii="宋体" w:hAnsi="宋体" w:eastAsia="宋体" w:cs="宋体"/>
          <w:color w:val="auto"/>
          <w:kern w:val="0"/>
          <w:sz w:val="24"/>
          <w:highlight w:val="none"/>
        </w:rPr>
        <w:t>、协助开发企业做好社区物管衔接工作:</w:t>
      </w:r>
    </w:p>
    <w:p w14:paraId="47A803CD">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、物业交付业主使用前的保洁开荒；</w:t>
      </w:r>
    </w:p>
    <w:p w14:paraId="3E90F8DF">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10</w:t>
      </w:r>
      <w:r>
        <w:rPr>
          <w:rFonts w:hint="eastAsia" w:ascii="宋体" w:hAnsi="宋体" w:eastAsia="宋体" w:cs="宋体"/>
          <w:color w:val="auto"/>
          <w:kern w:val="0"/>
          <w:sz w:val="24"/>
          <w:highlight w:val="none"/>
        </w:rPr>
        <w:t>、物业早期介入其他工作内容，包括但不限于：物业开办费、办公物资费、承接查验费、开荒保洁费费等。</w:t>
      </w:r>
    </w:p>
    <w:p w14:paraId="585DB70D">
      <w:pPr>
        <w:pStyle w:val="9"/>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10、人员配置如下表：（注：按实际投标内容填写）</w:t>
      </w:r>
    </w:p>
    <w:p w14:paraId="696A9891">
      <w:pPr>
        <w:widowControl/>
        <w:spacing w:line="44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本项目配备的不超过45周岁的物业秩序维护员占物业秩序维护员总人数的60%以上，持证上岗，配备45周岁以上物业秩序维护员必须经招标人、属地政府、主管部门三方同意。</w:t>
      </w:r>
    </w:p>
    <w:tbl>
      <w:tblPr>
        <w:tblStyle w:val="22"/>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345"/>
        <w:gridCol w:w="5879"/>
      </w:tblGrid>
      <w:tr w14:paraId="49F90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064" w:type="dxa"/>
            <w:gridSpan w:val="3"/>
            <w:vAlign w:val="center"/>
          </w:tcPr>
          <w:p w14:paraId="2521F620">
            <w:pPr>
              <w:spacing w:line="2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人员配备要求</w:t>
            </w:r>
          </w:p>
        </w:tc>
      </w:tr>
      <w:tr w14:paraId="0E68A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40" w:type="dxa"/>
            <w:vAlign w:val="center"/>
          </w:tcPr>
          <w:p w14:paraId="78270E7F">
            <w:pPr>
              <w:pStyle w:val="13"/>
              <w:spacing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序号</w:t>
            </w:r>
          </w:p>
        </w:tc>
        <w:tc>
          <w:tcPr>
            <w:tcW w:w="2345" w:type="dxa"/>
            <w:vAlign w:val="center"/>
          </w:tcPr>
          <w:p w14:paraId="09CE2251">
            <w:pPr>
              <w:pStyle w:val="13"/>
              <w:spacing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职位</w:t>
            </w:r>
          </w:p>
        </w:tc>
        <w:tc>
          <w:tcPr>
            <w:tcW w:w="5879" w:type="dxa"/>
            <w:vAlign w:val="center"/>
          </w:tcPr>
          <w:p w14:paraId="515DE10F">
            <w:pPr>
              <w:spacing w:line="240" w:lineRule="atLeas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人员</w:t>
            </w:r>
          </w:p>
        </w:tc>
      </w:tr>
      <w:tr w14:paraId="0A383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vAlign w:val="center"/>
          </w:tcPr>
          <w:p w14:paraId="5B6B1CCC">
            <w:pPr>
              <w:pStyle w:val="13"/>
              <w:spacing w:line="34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2345" w:type="dxa"/>
            <w:vAlign w:val="center"/>
          </w:tcPr>
          <w:p w14:paraId="2C6700E6">
            <w:pPr>
              <w:pStyle w:val="13"/>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项目经理</w:t>
            </w:r>
          </w:p>
        </w:tc>
        <w:tc>
          <w:tcPr>
            <w:tcW w:w="5879" w:type="dxa"/>
            <w:vAlign w:val="center"/>
          </w:tcPr>
          <w:p w14:paraId="63E72947">
            <w:pPr>
              <w:spacing w:line="240" w:lineRule="atLeast"/>
              <w:rPr>
                <w:rFonts w:hint="eastAsia" w:ascii="宋体" w:hAnsi="宋体" w:eastAsia="宋体" w:cs="宋体"/>
                <w:color w:val="auto"/>
                <w:sz w:val="24"/>
                <w:highlight w:val="none"/>
              </w:rPr>
            </w:pPr>
          </w:p>
        </w:tc>
      </w:tr>
      <w:tr w14:paraId="3419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vAlign w:val="center"/>
          </w:tcPr>
          <w:p w14:paraId="7069C865">
            <w:pPr>
              <w:pStyle w:val="13"/>
              <w:spacing w:line="34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2345" w:type="dxa"/>
            <w:vAlign w:val="center"/>
          </w:tcPr>
          <w:p w14:paraId="45ED210F">
            <w:pPr>
              <w:pStyle w:val="13"/>
              <w:spacing w:line="34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安保员</w:t>
            </w:r>
          </w:p>
        </w:tc>
        <w:tc>
          <w:tcPr>
            <w:tcW w:w="5879" w:type="dxa"/>
            <w:vAlign w:val="center"/>
          </w:tcPr>
          <w:p w14:paraId="33CFA4A9">
            <w:pPr>
              <w:spacing w:line="240" w:lineRule="atLeast"/>
              <w:rPr>
                <w:rFonts w:hint="eastAsia" w:ascii="宋体" w:hAnsi="宋体" w:eastAsia="宋体" w:cs="宋体"/>
                <w:color w:val="auto"/>
                <w:sz w:val="24"/>
                <w:highlight w:val="none"/>
              </w:rPr>
            </w:pPr>
          </w:p>
        </w:tc>
      </w:tr>
      <w:tr w14:paraId="747D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vAlign w:val="center"/>
          </w:tcPr>
          <w:p w14:paraId="4315DD76">
            <w:pPr>
              <w:pStyle w:val="13"/>
              <w:spacing w:line="34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p>
        </w:tc>
        <w:tc>
          <w:tcPr>
            <w:tcW w:w="2345" w:type="dxa"/>
            <w:vAlign w:val="center"/>
          </w:tcPr>
          <w:p w14:paraId="2644802E">
            <w:pPr>
              <w:pStyle w:val="13"/>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保洁员</w:t>
            </w:r>
          </w:p>
        </w:tc>
        <w:tc>
          <w:tcPr>
            <w:tcW w:w="5879" w:type="dxa"/>
            <w:vAlign w:val="center"/>
          </w:tcPr>
          <w:p w14:paraId="7C84C6E4">
            <w:pPr>
              <w:spacing w:line="240" w:lineRule="atLeast"/>
              <w:rPr>
                <w:rFonts w:hint="eastAsia" w:ascii="宋体" w:hAnsi="宋体" w:eastAsia="宋体" w:cs="宋体"/>
                <w:color w:val="auto"/>
                <w:sz w:val="24"/>
                <w:highlight w:val="none"/>
              </w:rPr>
            </w:pPr>
          </w:p>
        </w:tc>
      </w:tr>
      <w:tr w14:paraId="2F33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vAlign w:val="center"/>
          </w:tcPr>
          <w:p w14:paraId="62C76FFF">
            <w:pPr>
              <w:pStyle w:val="13"/>
              <w:spacing w:line="34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4</w:t>
            </w:r>
          </w:p>
        </w:tc>
        <w:tc>
          <w:tcPr>
            <w:tcW w:w="2345" w:type="dxa"/>
            <w:vAlign w:val="center"/>
          </w:tcPr>
          <w:p w14:paraId="35E2842D">
            <w:pPr>
              <w:pStyle w:val="13"/>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绿化工</w:t>
            </w:r>
          </w:p>
        </w:tc>
        <w:tc>
          <w:tcPr>
            <w:tcW w:w="5879" w:type="dxa"/>
            <w:vAlign w:val="center"/>
          </w:tcPr>
          <w:p w14:paraId="758E2EDB">
            <w:pPr>
              <w:spacing w:line="240" w:lineRule="atLeast"/>
              <w:rPr>
                <w:rFonts w:hint="eastAsia" w:ascii="宋体" w:hAnsi="宋体" w:eastAsia="宋体" w:cs="宋体"/>
                <w:b/>
                <w:bCs/>
                <w:color w:val="auto"/>
                <w:sz w:val="24"/>
                <w:highlight w:val="none"/>
              </w:rPr>
            </w:pPr>
          </w:p>
        </w:tc>
      </w:tr>
      <w:tr w14:paraId="6B0A8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vAlign w:val="center"/>
          </w:tcPr>
          <w:p w14:paraId="5B1A8A87">
            <w:pPr>
              <w:pStyle w:val="13"/>
              <w:spacing w:line="34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5</w:t>
            </w:r>
          </w:p>
        </w:tc>
        <w:tc>
          <w:tcPr>
            <w:tcW w:w="2345" w:type="dxa"/>
            <w:vAlign w:val="center"/>
          </w:tcPr>
          <w:p w14:paraId="20486B75">
            <w:pPr>
              <w:pStyle w:val="13"/>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客服</w:t>
            </w:r>
          </w:p>
        </w:tc>
        <w:tc>
          <w:tcPr>
            <w:tcW w:w="5879" w:type="dxa"/>
            <w:vAlign w:val="center"/>
          </w:tcPr>
          <w:p w14:paraId="2DE95A9F">
            <w:pPr>
              <w:spacing w:line="240" w:lineRule="atLeast"/>
              <w:rPr>
                <w:rFonts w:hint="eastAsia" w:ascii="宋体" w:hAnsi="宋体" w:eastAsia="宋体" w:cs="宋体"/>
                <w:b/>
                <w:bCs/>
                <w:color w:val="auto"/>
                <w:sz w:val="24"/>
                <w:highlight w:val="none"/>
              </w:rPr>
            </w:pPr>
          </w:p>
        </w:tc>
      </w:tr>
      <w:tr w14:paraId="749E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0" w:type="dxa"/>
            <w:vAlign w:val="center"/>
          </w:tcPr>
          <w:p w14:paraId="60639CF1">
            <w:pPr>
              <w:pStyle w:val="13"/>
              <w:spacing w:line="34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6</w:t>
            </w:r>
          </w:p>
        </w:tc>
        <w:tc>
          <w:tcPr>
            <w:tcW w:w="2345" w:type="dxa"/>
            <w:vAlign w:val="center"/>
          </w:tcPr>
          <w:p w14:paraId="6E3DF55B">
            <w:pPr>
              <w:pStyle w:val="13"/>
              <w:spacing w:line="3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水电工</w:t>
            </w:r>
          </w:p>
        </w:tc>
        <w:tc>
          <w:tcPr>
            <w:tcW w:w="5879" w:type="dxa"/>
            <w:vAlign w:val="center"/>
          </w:tcPr>
          <w:p w14:paraId="5DDD02F7">
            <w:pPr>
              <w:spacing w:line="240" w:lineRule="atLeast"/>
              <w:rPr>
                <w:rFonts w:hint="eastAsia" w:ascii="宋体" w:hAnsi="宋体" w:eastAsia="宋体" w:cs="宋体"/>
                <w:b/>
                <w:bCs/>
                <w:color w:val="auto"/>
                <w:sz w:val="24"/>
                <w:highlight w:val="none"/>
              </w:rPr>
            </w:pPr>
          </w:p>
        </w:tc>
      </w:tr>
    </w:tbl>
    <w:p w14:paraId="4CA24AC5">
      <w:pPr>
        <w:pStyle w:val="1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备注：1.乙方在服务期内不得随意变更项目负责人及项目组所有服务人员，且所有人员上岗前必须经过培训。如果出现员工离职等特殊情况的以及人员调配，必须经甲方、属地政府、主管部门同意，否则甲方有权按照物业服务费中标总额的2%进行扣除。</w:t>
      </w:r>
    </w:p>
    <w:p w14:paraId="76C4E949">
      <w:pPr>
        <w:pStyle w:val="1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2.前期介入服务人员进场需经甲方书面通知</w:t>
      </w:r>
      <w:r>
        <w:rPr>
          <w:rFonts w:hint="eastAsia" w:ascii="宋体" w:hAnsi="宋体" w:eastAsia="宋体" w:cs="宋体"/>
          <w:color w:val="auto"/>
          <w:sz w:val="24"/>
          <w:szCs w:val="24"/>
          <w:highlight w:val="none"/>
          <w:u w:val="single"/>
        </w:rPr>
        <w:t>。</w:t>
      </w:r>
    </w:p>
    <w:p w14:paraId="2FC217C0">
      <w:pPr>
        <w:widowControl/>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第三条 委托期限为3年</w:t>
      </w:r>
      <w:r>
        <w:rPr>
          <w:rFonts w:hint="eastAsia" w:ascii="宋体" w:hAnsi="宋体" w:eastAsia="宋体" w:cs="宋体"/>
          <w:color w:val="auto"/>
          <w:kern w:val="0"/>
          <w:sz w:val="24"/>
          <w:highlight w:val="none"/>
        </w:rPr>
        <w:t>，自   年  月  日起至    年  月  日止。</w:t>
      </w:r>
    </w:p>
    <w:p w14:paraId="45D08DF2">
      <w:pPr>
        <w:widowControl/>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w:t>
      </w: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条  在本物业管理区域内由乙方设立专门机构，并委派有岗位资格证书的人员负责本物业的日常管理工作。</w:t>
      </w:r>
    </w:p>
    <w:p w14:paraId="31F1BDB0">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乙方提供的物业管理服务包括以下内容:</w:t>
      </w:r>
    </w:p>
    <w:p w14:paraId="3957F215">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1、物业管理区域内物业共用部位、共用设施设备的管理及维保养护；</w:t>
      </w:r>
    </w:p>
    <w:p w14:paraId="4DB3CE52">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2、物业管理区域内公共秩序和环境卫生的维护:</w:t>
      </w:r>
    </w:p>
    <w:p w14:paraId="67E3910E">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3、物业管理区域内的绿化养护和管理:</w:t>
      </w:r>
    </w:p>
    <w:p w14:paraId="67FD7D55">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4、物业管理区域内车辆(机动车和非机动车)行驶、停放及场所管理:</w:t>
      </w:r>
    </w:p>
    <w:p w14:paraId="661D722D">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5、供水、供电、供气、电信等专业单位在物业管理区域内对相关管线、设施维修养护，进行必要的协调与管理:</w:t>
      </w:r>
    </w:p>
    <w:p w14:paraId="56C80EAB">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6、物业管理区域的日常安全巡查服务；</w:t>
      </w:r>
    </w:p>
    <w:p w14:paraId="1E8FA34C">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7、物业档案资料的保管及有关物业服务费用的账务管理；</w:t>
      </w:r>
    </w:p>
    <w:p w14:paraId="1FFB49E1">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8、物业管理区域业主(使用人)装饰装修物业的服务。</w:t>
      </w:r>
    </w:p>
    <w:p w14:paraId="08ABAB7C">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w:t>
      </w:r>
      <w:r>
        <w:rPr>
          <w:rFonts w:hint="eastAsia" w:ascii="宋体" w:hAnsi="宋体" w:eastAsia="宋体" w:cs="宋体"/>
          <w:color w:val="auto"/>
          <w:kern w:val="0"/>
          <w:sz w:val="24"/>
          <w:highlight w:val="none"/>
          <w:lang w:val="en-US" w:eastAsia="zh-CN"/>
        </w:rPr>
        <w:t>五</w:t>
      </w:r>
      <w:r>
        <w:rPr>
          <w:rFonts w:hint="eastAsia" w:ascii="宋体" w:hAnsi="宋体" w:eastAsia="宋体" w:cs="宋体"/>
          <w:color w:val="auto"/>
          <w:kern w:val="0"/>
          <w:sz w:val="24"/>
          <w:highlight w:val="none"/>
        </w:rPr>
        <w:t>条 甲方权利义务</w:t>
      </w:r>
    </w:p>
    <w:p w14:paraId="26853509">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1、代表和维护产权人、使用人的合法权益，并制定《</w:t>
      </w:r>
      <w:r>
        <w:rPr>
          <w:rFonts w:hint="eastAsia" w:ascii="宋体" w:hAnsi="宋体" w:eastAsia="宋体" w:cs="宋体"/>
          <w:bCs/>
          <w:color w:val="auto"/>
          <w:sz w:val="24"/>
          <w:highlight w:val="none"/>
          <w:lang w:eastAsia="zh-CN"/>
        </w:rPr>
        <w:t>如东县</w:t>
      </w:r>
      <w:r>
        <w:rPr>
          <w:rFonts w:hint="eastAsia" w:ascii="宋体" w:hAnsi="宋体" w:eastAsia="宋体" w:cs="宋体"/>
          <w:bCs/>
          <w:color w:val="auto"/>
          <w:sz w:val="24"/>
          <w:highlight w:val="none"/>
          <w:lang w:val="en-US" w:eastAsia="zh-CN"/>
        </w:rPr>
        <w:t>和美熙苑</w:t>
      </w:r>
      <w:r>
        <w:rPr>
          <w:rFonts w:hint="eastAsia" w:ascii="宋体" w:hAnsi="宋体" w:eastAsia="宋体" w:cs="宋体"/>
          <w:bCs/>
          <w:color w:val="auto"/>
          <w:sz w:val="24"/>
          <w:highlight w:val="none"/>
          <w:lang w:eastAsia="zh-CN"/>
        </w:rPr>
        <w:t>项目</w:t>
      </w:r>
      <w:r>
        <w:rPr>
          <w:rFonts w:hint="eastAsia" w:ascii="宋体" w:hAnsi="宋体" w:eastAsia="宋体" w:cs="宋体"/>
          <w:color w:val="auto"/>
          <w:kern w:val="0"/>
          <w:sz w:val="24"/>
          <w:highlight w:val="none"/>
        </w:rPr>
        <w:t>物业管理临时规约》；</w:t>
      </w:r>
    </w:p>
    <w:p w14:paraId="04D5B7FC">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2、审定乙方制定的物业管理制度；</w:t>
      </w:r>
    </w:p>
    <w:p w14:paraId="3836F996">
      <w:pPr>
        <w:widowControl/>
        <w:spacing w:line="44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3、检查、监督乙方管理工作的实施及制度执行情况，有权随时检查物业管理区域内乙方服务质量达标情况并提出意见，乙方须在双方书面约定的期限内予以改正。</w:t>
      </w:r>
      <w:r>
        <w:rPr>
          <w:rFonts w:hint="eastAsia" w:ascii="宋体" w:hAnsi="宋体" w:eastAsia="宋体" w:cs="宋体"/>
          <w:color w:val="auto"/>
          <w:kern w:val="0"/>
          <w:sz w:val="24"/>
          <w:highlight w:val="none"/>
          <w:lang w:val="en-US" w:eastAsia="zh-CN"/>
        </w:rPr>
        <w:t xml:space="preserve">   </w:t>
      </w:r>
    </w:p>
    <w:p w14:paraId="10CAF589">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4、在合同生效之日，按照相关法规，向乙方提供一定面积的物业用房；</w:t>
      </w:r>
    </w:p>
    <w:p w14:paraId="4E44E5E0">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5、负责收集、整理物业管理所需全部图纸、档案、资料，在合同生效之日起向乙方移交以下资料:</w:t>
      </w:r>
    </w:p>
    <w:p w14:paraId="18EAA355">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(1)竣工总平面图、单体建筑、结构、设备竣工图、配套设施、地下管网工程竣工图等竣工验收资料；</w:t>
      </w:r>
    </w:p>
    <w:p w14:paraId="036A6D77">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(2)设施设备的安装、使用和维护保养的技术资料；</w:t>
      </w:r>
    </w:p>
    <w:p w14:paraId="5010B595">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(3)物业维修资金说明、物业质量保修文件、物业使用说明文件、施工单位联系人、联系方式等:</w:t>
      </w:r>
    </w:p>
    <w:p w14:paraId="5EC2C502">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(4)各专业部门验收资料；</w:t>
      </w:r>
    </w:p>
    <w:p w14:paraId="37AD12E8">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(5)房屋及配套设施的产权归属清单(包括业主姓名、联系人、联系方式等)</w:t>
      </w:r>
    </w:p>
    <w:p w14:paraId="088A6623">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(6)物业管理所必须的其他资料。</w:t>
      </w:r>
    </w:p>
    <w:p w14:paraId="783786AE">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6、协调处理本合同生效期内发生的遗留问题，如存在质量问题，按以下方式处理:</w:t>
      </w:r>
    </w:p>
    <w:p w14:paraId="00CEB5E6">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(1)由甲方负责返修；</w:t>
      </w:r>
    </w:p>
    <w:p w14:paraId="7C3D22BA">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 建筑产品说明书承诺的保修期内甲方也可委托乙方返修，返修所产生的费用由甲方承担。</w:t>
      </w:r>
    </w:p>
    <w:p w14:paraId="57E2DB01">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7、督促检查乙方做好物业区域内的物业管理工作。</w:t>
      </w:r>
    </w:p>
    <w:p w14:paraId="02268820">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w:t>
      </w:r>
      <w:r>
        <w:rPr>
          <w:rFonts w:hint="eastAsia" w:ascii="宋体" w:hAnsi="宋体" w:eastAsia="宋体" w:cs="宋体"/>
          <w:color w:val="auto"/>
          <w:kern w:val="0"/>
          <w:sz w:val="24"/>
          <w:highlight w:val="none"/>
          <w:lang w:val="en-US" w:eastAsia="zh-CN"/>
        </w:rPr>
        <w:t>六</w:t>
      </w:r>
      <w:r>
        <w:rPr>
          <w:rFonts w:hint="eastAsia" w:ascii="宋体" w:hAnsi="宋体" w:eastAsia="宋体" w:cs="宋体"/>
          <w:color w:val="auto"/>
          <w:kern w:val="0"/>
          <w:sz w:val="24"/>
          <w:highlight w:val="none"/>
        </w:rPr>
        <w:t>条乙方权利义务</w:t>
      </w:r>
    </w:p>
    <w:p w14:paraId="130C8089">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1、根据有关法律、法规及本合同的约定，制定物业管理制度；对业主或使用人违反法规、规章的行为，提请有关部门处理；</w:t>
      </w:r>
    </w:p>
    <w:p w14:paraId="013975C8">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2、协助甲方交房并办理交房手续，提出相关物业建议；</w:t>
      </w:r>
    </w:p>
    <w:p w14:paraId="3D2A3507">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3、与业主或使用人签订前期物业服务协议，并向业主或使用人收取物业服务费、与业主协商的特约服务费等其他费用；</w:t>
      </w:r>
    </w:p>
    <w:p w14:paraId="61DCBC04">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4、对业主或使用人违反物业管理相关法律法规及《</w:t>
      </w:r>
      <w:r>
        <w:rPr>
          <w:rFonts w:hint="eastAsia" w:ascii="宋体" w:hAnsi="宋体" w:eastAsia="宋体" w:cs="宋体"/>
          <w:bCs/>
          <w:color w:val="auto"/>
          <w:sz w:val="24"/>
          <w:highlight w:val="none"/>
          <w:lang w:eastAsia="zh-CN"/>
        </w:rPr>
        <w:t>如东县</w:t>
      </w:r>
      <w:r>
        <w:rPr>
          <w:rFonts w:hint="eastAsia" w:ascii="宋体" w:hAnsi="宋体" w:eastAsia="宋体" w:cs="宋体"/>
          <w:bCs/>
          <w:color w:val="auto"/>
          <w:sz w:val="24"/>
          <w:highlight w:val="none"/>
          <w:lang w:val="en-US" w:eastAsia="zh-CN"/>
        </w:rPr>
        <w:t>和美熙苑</w:t>
      </w:r>
      <w:r>
        <w:rPr>
          <w:rFonts w:hint="eastAsia" w:ascii="宋体" w:hAnsi="宋体" w:eastAsia="宋体" w:cs="宋体"/>
          <w:bCs/>
          <w:color w:val="auto"/>
          <w:sz w:val="24"/>
          <w:highlight w:val="none"/>
          <w:lang w:eastAsia="zh-CN"/>
        </w:rPr>
        <w:t>项目</w:t>
      </w:r>
      <w:r>
        <w:rPr>
          <w:rFonts w:hint="eastAsia" w:ascii="宋体" w:hAnsi="宋体" w:eastAsia="宋体" w:cs="宋体"/>
          <w:color w:val="auto"/>
          <w:kern w:val="0"/>
          <w:sz w:val="24"/>
          <w:highlight w:val="none"/>
        </w:rPr>
        <w:t>物业管理临时规约》的行为，及时进行劝阻、制止、执行赔偿等措施；</w:t>
      </w:r>
    </w:p>
    <w:p w14:paraId="56751755">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5、可选聘专营公司承担本物业的专项管理业务，但不得将本物业的整体管理权利义务及管理责任转让给第三方；</w:t>
      </w:r>
    </w:p>
    <w:p w14:paraId="2E89FC4B">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6、向业主或物业使用人告知物业使用的有关规定，当业主或物业使用人装修物业时，告知有关限制条件，订立书面约定，并负责监督；</w:t>
      </w:r>
    </w:p>
    <w:p w14:paraId="511E6989">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7、负责编制房屋、附属建筑物、设施设备、绿化的年度维修计划，经甲方审定后实施；</w:t>
      </w:r>
    </w:p>
    <w:p w14:paraId="723A20BC">
      <w:pPr>
        <w:widowControl/>
        <w:spacing w:line="44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8、每年三月份由</w:t>
      </w:r>
      <w:r>
        <w:rPr>
          <w:rFonts w:hint="eastAsia" w:ascii="宋体" w:hAnsi="宋体" w:eastAsia="宋体" w:cs="宋体"/>
          <w:color w:val="auto"/>
          <w:kern w:val="0"/>
          <w:sz w:val="24"/>
          <w:highlight w:val="none"/>
          <w:lang w:val="en-US" w:eastAsia="zh-CN"/>
        </w:rPr>
        <w:t>甲方</w:t>
      </w:r>
      <w:r>
        <w:rPr>
          <w:rFonts w:hint="eastAsia" w:ascii="宋体" w:hAnsi="宋体" w:eastAsia="宋体" w:cs="宋体"/>
          <w:color w:val="auto"/>
          <w:kern w:val="0"/>
          <w:sz w:val="24"/>
          <w:highlight w:val="none"/>
        </w:rPr>
        <w:t>牵头会同</w:t>
      </w:r>
      <w:r>
        <w:rPr>
          <w:rFonts w:hint="eastAsia" w:ascii="宋体" w:hAnsi="宋体" w:eastAsia="宋体" w:cs="宋体"/>
          <w:color w:val="auto"/>
          <w:kern w:val="0"/>
          <w:sz w:val="24"/>
          <w:highlight w:val="none"/>
          <w:lang w:val="en-US" w:eastAsia="zh-CN"/>
        </w:rPr>
        <w:t>乙方</w:t>
      </w:r>
      <w:r>
        <w:rPr>
          <w:rFonts w:hint="eastAsia" w:ascii="宋体" w:hAnsi="宋体" w:eastAsia="宋体" w:cs="宋体"/>
          <w:color w:val="auto"/>
          <w:kern w:val="0"/>
          <w:sz w:val="24"/>
          <w:highlight w:val="none"/>
        </w:rPr>
        <w:t>对</w:t>
      </w:r>
      <w:r>
        <w:rPr>
          <w:rFonts w:hint="eastAsia" w:ascii="宋体" w:hAnsi="宋体" w:eastAsia="宋体" w:cs="宋体"/>
          <w:color w:val="auto"/>
          <w:kern w:val="0"/>
          <w:sz w:val="24"/>
          <w:highlight w:val="none"/>
          <w:lang w:val="en-US" w:eastAsia="zh-CN"/>
        </w:rPr>
        <w:t>全体</w:t>
      </w:r>
      <w:r>
        <w:rPr>
          <w:rFonts w:hint="eastAsia" w:ascii="宋体" w:hAnsi="宋体" w:eastAsia="宋体" w:cs="宋体"/>
          <w:color w:val="auto"/>
          <w:kern w:val="0"/>
          <w:sz w:val="24"/>
          <w:highlight w:val="none"/>
        </w:rPr>
        <w:t>入住业主进行一次物业满意度调查</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调查不满意的，乙方即时整改。因乙方责任，造成物品损坏或经济损失，甲方有权要求乙方维修或赔偿。</w:t>
      </w:r>
    </w:p>
    <w:p w14:paraId="08F27060">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9、负责将服务合同约定的服务内容、服务标准、收费项目和标准通过宣传栏和公示栏在物业区域内向业主进行宣传和公示；</w:t>
      </w:r>
    </w:p>
    <w:p w14:paraId="2575DC04">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10、负责编制物业管理年度计划、资金使用计划及决算报告，每年向全体业主或使用人公布次管理费用收支账目；</w:t>
      </w:r>
    </w:p>
    <w:p w14:paraId="2B7D08AE">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11、对本物业的公用设施不得擅自占用和改变使用功能，如需在本物业内改、扩建或完善配套项目，须与甲方协商经甲方同意后报有关部门批准方可实施；</w:t>
      </w:r>
    </w:p>
    <w:p w14:paraId="18DC046C">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12、本合同终止时(包括中途终止或期满)，乙方必须在15天内向甲方移交全部管理用房及物业管理的全部档案资料；并将已预收在合同期满后剩余部分的物业服务费移交给甲方或新聘用的物业管理企业。</w:t>
      </w:r>
    </w:p>
    <w:p w14:paraId="0BCD7603">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13、因乙方提供的物业管理服务中的故意或过失行为给第三人造成损失的，由乙方自行承担相关法律和经济责任。因乙方的原因导致甲方被第三人索赔的，甲方有权向乙方追偿。</w:t>
      </w:r>
    </w:p>
    <w:p w14:paraId="39A477CC">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w:t>
      </w:r>
      <w:r>
        <w:rPr>
          <w:rFonts w:hint="eastAsia" w:ascii="宋体" w:hAnsi="宋体" w:eastAsia="宋体" w:cs="宋体"/>
          <w:color w:val="auto"/>
          <w:kern w:val="0"/>
          <w:sz w:val="24"/>
          <w:highlight w:val="none"/>
          <w:lang w:val="en-US" w:eastAsia="zh-CN"/>
        </w:rPr>
        <w:t>七</w:t>
      </w:r>
      <w:r>
        <w:rPr>
          <w:rFonts w:hint="eastAsia" w:ascii="宋体" w:hAnsi="宋体" w:eastAsia="宋体" w:cs="宋体"/>
          <w:color w:val="auto"/>
          <w:kern w:val="0"/>
          <w:sz w:val="24"/>
          <w:highlight w:val="none"/>
        </w:rPr>
        <w:t>条  合同价款及付款方式</w:t>
      </w:r>
    </w:p>
    <w:p w14:paraId="70518454">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1、本物业管理区域物业公共服务收费采用单价包干制方式。物业服务费用由住户按其所住物业的建筑面积，在每物业年度开始的第一个月，按年度一次性缴纳，具体标准如下:</w:t>
      </w:r>
    </w:p>
    <w:p w14:paraId="63AF2CD1">
      <w:pPr>
        <w:pStyle w:val="9"/>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 xml:space="preserve">    低层住宅：</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元/月·平方米</w:t>
      </w:r>
      <w:r>
        <w:rPr>
          <w:rFonts w:hint="eastAsia" w:ascii="宋体" w:hAnsi="宋体" w:eastAsia="宋体" w:cs="宋体"/>
          <w:color w:val="auto"/>
          <w:kern w:val="0"/>
          <w:sz w:val="24"/>
          <w:highlight w:val="none"/>
          <w:lang w:val="en-US" w:eastAsia="zh-CN"/>
        </w:rPr>
        <w:t>；</w:t>
      </w:r>
    </w:p>
    <w:p w14:paraId="4DED78FD">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高层住宅</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元/月·平方米；</w:t>
      </w:r>
    </w:p>
    <w:p w14:paraId="1D96562D">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地下车位：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元/月·个；</w:t>
      </w:r>
    </w:p>
    <w:p w14:paraId="2065F498">
      <w:pPr>
        <w:widowControl/>
        <w:spacing w:line="44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前期物业服务费总价（包含前期介入服务费）为￥</w:t>
      </w:r>
      <w:r>
        <w:rPr>
          <w:rFonts w:hint="eastAsia" w:ascii="宋体" w:hAnsi="宋体" w:eastAsia="宋体" w:cs="宋体"/>
          <w:color w:val="auto"/>
          <w:kern w:val="0"/>
          <w:sz w:val="24"/>
          <w:highlight w:val="none"/>
          <w:u w:val="single"/>
        </w:rPr>
        <w:t>人民币（小写）</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元</w:t>
      </w:r>
      <w:r>
        <w:rPr>
          <w:rFonts w:hint="eastAsia" w:ascii="宋体" w:hAnsi="宋体" w:eastAsia="宋体" w:cs="宋体"/>
          <w:color w:val="auto"/>
          <w:kern w:val="0"/>
          <w:sz w:val="24"/>
          <w:highlight w:val="none"/>
        </w:rPr>
        <w:t>，大写</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kern w:val="0"/>
          <w:sz w:val="24"/>
          <w:highlight w:val="none"/>
        </w:rPr>
        <w:t>，增值税税率</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w:t>
      </w:r>
    </w:p>
    <w:p w14:paraId="350AEF46">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具体</w:t>
      </w:r>
      <w:r>
        <w:rPr>
          <w:rFonts w:hint="eastAsia" w:ascii="宋体" w:hAnsi="宋体" w:eastAsia="宋体" w:cs="宋体"/>
          <w:color w:val="auto"/>
          <w:kern w:val="0"/>
          <w:sz w:val="24"/>
          <w:highlight w:val="none"/>
        </w:rPr>
        <w:t>如下：</w:t>
      </w:r>
    </w:p>
    <w:p w14:paraId="332156FD">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前期介入费￥</w:t>
      </w:r>
      <w:r>
        <w:rPr>
          <w:rFonts w:hint="eastAsia" w:ascii="宋体" w:hAnsi="宋体" w:eastAsia="宋体" w:cs="宋体"/>
          <w:color w:val="auto"/>
          <w:kern w:val="0"/>
          <w:sz w:val="24"/>
          <w:highlight w:val="none"/>
          <w:u w:val="single"/>
        </w:rPr>
        <w:t>人民币（小写）</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元，大写</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rPr>
        <w:t>；</w:t>
      </w:r>
    </w:p>
    <w:p w14:paraId="02018B8B">
      <w:pPr>
        <w:widowControl/>
        <w:spacing w:line="440" w:lineRule="exact"/>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rPr>
        <w:t>三年前期</w:t>
      </w:r>
      <w:r>
        <w:rPr>
          <w:rFonts w:hint="eastAsia" w:ascii="宋体" w:hAnsi="宋体" w:eastAsia="宋体" w:cs="宋体"/>
          <w:color w:val="auto"/>
          <w:kern w:val="0"/>
          <w:sz w:val="24"/>
          <w:highlight w:val="none"/>
          <w:lang w:val="en-US" w:eastAsia="zh-CN"/>
        </w:rPr>
        <w:t>物业</w:t>
      </w:r>
      <w:r>
        <w:rPr>
          <w:rFonts w:hint="eastAsia" w:ascii="宋体" w:hAnsi="宋体" w:eastAsia="宋体" w:cs="宋体"/>
          <w:color w:val="auto"/>
          <w:kern w:val="0"/>
          <w:sz w:val="24"/>
          <w:highlight w:val="none"/>
        </w:rPr>
        <w:t>服务费：￥</w:t>
      </w:r>
      <w:r>
        <w:rPr>
          <w:rFonts w:hint="eastAsia" w:ascii="宋体" w:hAnsi="宋体" w:eastAsia="宋体" w:cs="宋体"/>
          <w:color w:val="auto"/>
          <w:kern w:val="0"/>
          <w:sz w:val="24"/>
          <w:highlight w:val="none"/>
          <w:u w:val="single"/>
        </w:rPr>
        <w:t>人民币（小写）</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元</w:t>
      </w:r>
      <w:r>
        <w:rPr>
          <w:rFonts w:hint="eastAsia" w:ascii="宋体" w:hAnsi="宋体" w:eastAsia="宋体" w:cs="宋体"/>
          <w:color w:val="auto"/>
          <w:kern w:val="0"/>
          <w:sz w:val="24"/>
          <w:highlight w:val="none"/>
        </w:rPr>
        <w:t>，大写：</w:t>
      </w:r>
      <w:r>
        <w:rPr>
          <w:rFonts w:hint="eastAsia" w:ascii="宋体" w:hAnsi="宋体" w:eastAsia="宋体" w:cs="宋体"/>
          <w:color w:val="auto"/>
          <w:kern w:val="0"/>
          <w:sz w:val="24"/>
          <w:highlight w:val="none"/>
          <w:u w:val="single"/>
          <w:lang w:val="en-US" w:eastAsia="zh-CN"/>
        </w:rPr>
        <w:t xml:space="preserve">           元</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lang w:val="en-US" w:eastAsia="zh-CN"/>
        </w:rPr>
        <w:t>前期低层费用：</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u w:val="single"/>
        </w:rPr>
        <w:t>人民币（小写</w:t>
      </w:r>
      <w:r>
        <w:rPr>
          <w:rFonts w:hint="eastAsia" w:ascii="宋体" w:hAnsi="宋体" w:eastAsia="宋体" w:cs="宋体"/>
          <w:color w:val="auto"/>
          <w:kern w:val="0"/>
          <w:sz w:val="24"/>
          <w:highlight w:val="none"/>
          <w:u w:val="single"/>
          <w:lang w:eastAsia="zh-CN"/>
        </w:rPr>
        <w:t>）</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元，前期高层费用：</w:t>
      </w:r>
      <w:r>
        <w:rPr>
          <w:rFonts w:hint="eastAsia" w:ascii="宋体" w:hAnsi="宋体" w:eastAsia="宋体" w:cs="宋体"/>
          <w:color w:val="auto"/>
          <w:sz w:val="24"/>
          <w:highlight w:val="none"/>
          <w:u w:val="single"/>
          <w:lang w:val="en-US" w:eastAsia="zh-CN"/>
        </w:rPr>
        <w:t xml:space="preserve">         元 </w:t>
      </w:r>
      <w:r>
        <w:rPr>
          <w:rFonts w:hint="eastAsia" w:ascii="宋体" w:hAnsi="宋体" w:eastAsia="宋体" w:cs="宋体"/>
          <w:color w:val="auto"/>
          <w:kern w:val="0"/>
          <w:sz w:val="24"/>
          <w:highlight w:val="none"/>
        </w:rPr>
        <w:t>；地下车位物业费服务费</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sz w:val="24"/>
          <w:highlight w:val="none"/>
          <w:u w:val="single"/>
          <w:lang w:val="en-US" w:eastAsia="zh-CN"/>
        </w:rPr>
        <w:t>元 ；</w:t>
      </w:r>
    </w:p>
    <w:p w14:paraId="1AF69B96">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物业服务费用采用单价包干制，由乙方按中标单价向住户按照房屋的法定产权建筑面积收取。已办理不动产权证的，以不动产权证记载的建筑面积为准；未办理不动产权证或不动产权证未记载建筑面积的，以物业买卖合同中约定的建筑面积收取。</w:t>
      </w:r>
      <w:r>
        <w:rPr>
          <w:rFonts w:hint="eastAsia" w:ascii="宋体" w:hAnsi="宋体" w:eastAsia="宋体" w:cs="宋体"/>
          <w:b/>
          <w:color w:val="auto"/>
          <w:kern w:val="0"/>
          <w:sz w:val="24"/>
          <w:highlight w:val="none"/>
        </w:rPr>
        <w:t>物业服务费包括电梯维保、</w:t>
      </w:r>
      <w:r>
        <w:rPr>
          <w:rFonts w:hint="eastAsia" w:ascii="宋体" w:hAnsi="宋体" w:eastAsia="宋体" w:cs="宋体"/>
          <w:b/>
          <w:color w:val="auto"/>
          <w:kern w:val="0"/>
          <w:sz w:val="24"/>
          <w:highlight w:val="none"/>
          <w:lang w:eastAsia="zh-CN"/>
        </w:rPr>
        <w:t>电梯年检、智能化维保、消防维保</w:t>
      </w:r>
      <w:r>
        <w:rPr>
          <w:rFonts w:hint="eastAsia" w:ascii="宋体" w:hAnsi="宋体" w:eastAsia="宋体" w:cs="宋体"/>
          <w:b/>
          <w:color w:val="auto"/>
          <w:kern w:val="0"/>
          <w:sz w:val="24"/>
          <w:highlight w:val="none"/>
        </w:rPr>
        <w:t>（维保设备包括</w:t>
      </w:r>
      <w:r>
        <w:rPr>
          <w:rFonts w:hint="eastAsia" w:ascii="宋体" w:hAnsi="宋体" w:eastAsia="宋体" w:cs="宋体"/>
          <w:b/>
          <w:color w:val="auto"/>
          <w:kern w:val="0"/>
          <w:sz w:val="24"/>
          <w:highlight w:val="none"/>
          <w:lang w:val="en-US" w:eastAsia="zh-CN"/>
        </w:rPr>
        <w:t>但不限于</w:t>
      </w:r>
      <w:r>
        <w:rPr>
          <w:rFonts w:hint="eastAsia" w:ascii="宋体" w:hAnsi="宋体" w:eastAsia="宋体" w:cs="宋体"/>
          <w:b/>
          <w:color w:val="auto"/>
          <w:kern w:val="0"/>
          <w:sz w:val="24"/>
          <w:highlight w:val="none"/>
        </w:rPr>
        <w:t>：（1）消防供配电设施；（2）火灾自动报警系统（3）消防供水设施；（4）消火栓（消防炮）灭火系统；（5）自动喷水灭火系统；（6）可燃气体探测报警系统；（7）气体灭火系统；（8）防排烟系统；（9）火灾应急照明和疏散指示标志；（10）应急广播系统；（11）消防专用电话；（12）防火分隔设施；（13）消防电梯</w:t>
      </w:r>
      <w:r>
        <w:rPr>
          <w:rFonts w:hint="eastAsia" w:ascii="宋体" w:hAnsi="宋体" w:eastAsia="宋体" w:cs="宋体"/>
          <w:b/>
          <w:color w:val="auto"/>
          <w:kern w:val="0"/>
          <w:sz w:val="24"/>
          <w:highlight w:val="none"/>
          <w:lang w:eastAsia="zh-CN"/>
        </w:rPr>
        <w:t>及担架电梯</w:t>
      </w:r>
      <w:r>
        <w:rPr>
          <w:rFonts w:hint="eastAsia" w:ascii="宋体" w:hAnsi="宋体" w:eastAsia="宋体" w:cs="宋体"/>
          <w:b/>
          <w:color w:val="auto"/>
          <w:kern w:val="0"/>
          <w:sz w:val="24"/>
          <w:highlight w:val="none"/>
        </w:rPr>
        <w:t>；（14）电气火灾监控系统；（15）灭火器；（16）其他建筑消防设施；（17）生活水泵，污水泵的设备维保）和防雷检测等费用</w:t>
      </w:r>
      <w:r>
        <w:rPr>
          <w:rFonts w:hint="eastAsia" w:ascii="宋体" w:hAnsi="宋体" w:eastAsia="宋体" w:cs="宋体"/>
          <w:color w:val="auto"/>
          <w:kern w:val="0"/>
          <w:sz w:val="24"/>
          <w:highlight w:val="none"/>
        </w:rPr>
        <w:t>。</w:t>
      </w:r>
    </w:p>
    <w:p w14:paraId="2229335B">
      <w:pPr>
        <w:pStyle w:val="18"/>
        <w:keepNext w:val="0"/>
        <w:keepLines w:val="0"/>
        <w:pageBreakBefore w:val="0"/>
        <w:widowControl w:val="0"/>
        <w:kinsoku/>
        <w:wordWrap/>
        <w:overflowPunct/>
        <w:topLinePunct w:val="0"/>
        <w:autoSpaceDE/>
        <w:autoSpaceDN/>
        <w:bidi w:val="0"/>
        <w:adjustRightInd/>
        <w:snapToGrid/>
        <w:spacing w:before="0" w:after="0" w:line="420" w:lineRule="exact"/>
        <w:ind w:firstLine="480" w:firstLineChars="20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实行物业服务费用包干制的，物业服务费的构成包括所有人员的工资、福利、保险、服装、通信工具、所有依法应缴纳的社会保险、清洁消毒剂、劳保用品、防护用品、垃圾袋及完成该项目所需清洁等必须工具（甲方不再支付物业管理期间的易耗品费用）；物业管理区域内清洁卫生费及生活垃圾清运处置费；物业共用部位、共用设施设备的维护费用</w:t>
      </w:r>
      <w:r>
        <w:rPr>
          <w:rFonts w:hint="eastAsia" w:ascii="宋体" w:hAnsi="宋体" w:eastAsia="宋体" w:cs="宋体"/>
          <w:b/>
          <w:bCs/>
          <w:color w:val="auto"/>
          <w:kern w:val="0"/>
          <w:sz w:val="24"/>
          <w:highlight w:val="none"/>
        </w:rPr>
        <w:t>【包含电梯维保费、检测费用和消防维保费用由乙方承担。】</w:t>
      </w:r>
      <w:r>
        <w:rPr>
          <w:rFonts w:hint="eastAsia" w:ascii="宋体" w:hAnsi="宋体" w:eastAsia="宋体" w:cs="宋体"/>
          <w:color w:val="auto"/>
          <w:kern w:val="0"/>
          <w:sz w:val="24"/>
          <w:highlight w:val="none"/>
        </w:rPr>
        <w:t>；物业服务企业办公费；合理利润；物业服务企业固定资产折旧费；</w:t>
      </w:r>
      <w:r>
        <w:rPr>
          <w:rFonts w:hint="eastAsia" w:ascii="宋体" w:hAnsi="宋体" w:eastAsia="宋体" w:cs="宋体"/>
          <w:color w:val="auto"/>
          <w:kern w:val="0"/>
          <w:sz w:val="24"/>
          <w:highlight w:val="none"/>
          <w:lang w:val="en-US" w:eastAsia="zh-CN"/>
        </w:rPr>
        <w:t>空置房定期查验清扫、</w:t>
      </w:r>
      <w:r>
        <w:rPr>
          <w:rFonts w:hint="eastAsia" w:ascii="宋体" w:hAnsi="宋体" w:eastAsia="宋体" w:cs="宋体"/>
          <w:color w:val="auto"/>
          <w:kern w:val="0"/>
          <w:sz w:val="24"/>
          <w:highlight w:val="none"/>
        </w:rPr>
        <w:t>一切税费等招标文件要求的所有费用。</w:t>
      </w:r>
    </w:p>
    <w:p w14:paraId="40635286">
      <w:pPr>
        <w:widowControl/>
        <w:spacing w:line="440" w:lineRule="exact"/>
        <w:ind w:firstLine="482" w:firstLineChars="200"/>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2、付款方式：</w:t>
      </w:r>
    </w:p>
    <w:p w14:paraId="4B6B5892">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2.1</w:t>
      </w:r>
      <w:r>
        <w:rPr>
          <w:rFonts w:hint="eastAsia" w:ascii="宋体" w:hAnsi="宋体" w:eastAsia="宋体" w:cs="宋体"/>
          <w:color w:val="auto"/>
          <w:kern w:val="0"/>
          <w:sz w:val="24"/>
          <w:highlight w:val="none"/>
        </w:rPr>
        <w:t>物业进场后四个月内付清前期介入服务费用；</w:t>
      </w:r>
    </w:p>
    <w:p w14:paraId="63F3DC20">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2.2</w:t>
      </w:r>
      <w:r>
        <w:rPr>
          <w:rFonts w:hint="eastAsia" w:ascii="宋体" w:hAnsi="宋体" w:eastAsia="宋体" w:cs="宋体"/>
          <w:color w:val="auto"/>
          <w:kern w:val="0"/>
          <w:sz w:val="24"/>
          <w:highlight w:val="none"/>
        </w:rPr>
        <w:t>物业服务费用采用单价包干制，由中标单位按中标单价向住户按其拥有物业的产权面积收取。</w:t>
      </w:r>
    </w:p>
    <w:p w14:paraId="29837CD1">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2.3</w:t>
      </w:r>
      <w:r>
        <w:rPr>
          <w:rFonts w:hint="eastAsia" w:ascii="宋体" w:hAnsi="宋体" w:eastAsia="宋体" w:cs="宋体"/>
          <w:color w:val="auto"/>
          <w:kern w:val="0"/>
          <w:sz w:val="24"/>
          <w:highlight w:val="none"/>
        </w:rPr>
        <w:t>空置房部分：纳入物业管理和服务范围的已竣工但尚未售出或者因开发建设单位原因未按时交给物业买受人的物业，</w:t>
      </w:r>
      <w:r>
        <w:rPr>
          <w:rFonts w:hint="eastAsia" w:ascii="宋体" w:hAnsi="宋体" w:cs="宋体"/>
          <w:color w:val="auto"/>
          <w:kern w:val="0"/>
          <w:sz w:val="24"/>
          <w:highlight w:val="none"/>
          <w:lang w:val="en-US" w:eastAsia="zh-CN"/>
        </w:rPr>
        <w:t>空置房结算三年，</w:t>
      </w:r>
      <w:r>
        <w:rPr>
          <w:rFonts w:hint="eastAsia" w:ascii="宋体" w:hAnsi="宋体" w:eastAsia="宋体" w:cs="宋体"/>
          <w:color w:val="auto"/>
          <w:kern w:val="0"/>
          <w:sz w:val="24"/>
          <w:highlight w:val="none"/>
        </w:rPr>
        <w:t>物业费每年收取一次（空置房空置时间按月计算，不满一月的不计算空置费，满一月以上的按实际整数月结算，每年期满后次月由开发建设单位支付给中标单位）。根据《江苏省物业管理条例》，</w:t>
      </w:r>
      <w:r>
        <w:rPr>
          <w:rFonts w:hint="eastAsia"/>
          <w:color w:val="auto"/>
          <w:sz w:val="24"/>
          <w:szCs w:val="24"/>
          <w:highlight w:val="none"/>
          <w:lang w:val="en-US" w:eastAsia="zh-CN"/>
        </w:rPr>
        <w:t>开发建设单位与物业公司空置房费用按如下方式结算，第一年开发建设单位暂缓支付，第二年开发建设单位支付第一年空置房总费用的10%，第三年合同结束前付清。</w:t>
      </w:r>
    </w:p>
    <w:p w14:paraId="08E5CC32">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3、共用的电梯、水泵、监控机房等设施设备运行电费及公共照明、公共用水等公共能耗费由业主分摊</w:t>
      </w:r>
      <w:r>
        <w:rPr>
          <w:rFonts w:hint="eastAsia" w:ascii="宋体" w:hAnsi="宋体" w:eastAsia="宋体" w:cs="宋体"/>
          <w:color w:val="auto"/>
          <w:kern w:val="0"/>
          <w:sz w:val="24"/>
          <w:highlight w:val="none"/>
          <w:lang w:eastAsia="zh-CN"/>
        </w:rPr>
        <w:t>（</w:t>
      </w:r>
      <w:r>
        <w:rPr>
          <w:rFonts w:hint="eastAsia" w:ascii="宋体" w:hAnsi="宋体" w:eastAsia="宋体" w:cs="宋体"/>
          <w:b/>
          <w:bCs w:val="0"/>
          <w:color w:val="auto"/>
          <w:kern w:val="2"/>
          <w:sz w:val="24"/>
          <w:szCs w:val="24"/>
          <w:highlight w:val="none"/>
          <w:lang w:val="en-US" w:eastAsia="zh-CN" w:bidi="ar-SA"/>
        </w:rPr>
        <w:t>注：不包括公共能耗费（公共能耗费预收0.5元/平方米/月，多退少补）</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w:t>
      </w:r>
    </w:p>
    <w:p w14:paraId="357C79B7">
      <w:pPr>
        <w:pStyle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sz w:val="24"/>
          <w:szCs w:val="24"/>
          <w:highlight w:val="none"/>
          <w:lang w:val="en-US" w:eastAsia="zh-CN"/>
        </w:rPr>
        <w:t xml:space="preserve"> 4、装修垃圾清运费按2.5元</w:t>
      </w:r>
      <w:r>
        <w:rPr>
          <w:rFonts w:hint="eastAsia" w:ascii="宋体" w:hAnsi="宋体" w:eastAsia="宋体" w:cs="宋体"/>
          <w:b/>
          <w:bCs w:val="0"/>
          <w:color w:val="auto"/>
          <w:kern w:val="2"/>
          <w:sz w:val="24"/>
          <w:szCs w:val="24"/>
          <w:highlight w:val="none"/>
          <w:lang w:val="en-US" w:eastAsia="zh-CN" w:bidi="ar-SA"/>
        </w:rPr>
        <w:t>/平方米的标准，于办理装修登记时一次性预收。</w:t>
      </w:r>
    </w:p>
    <w:p w14:paraId="30A2C420">
      <w:pPr>
        <w:spacing w:line="40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第</w:t>
      </w:r>
      <w:r>
        <w:rPr>
          <w:rFonts w:hint="eastAsia" w:ascii="宋体" w:hAnsi="宋体" w:eastAsia="宋体" w:cs="宋体"/>
          <w:color w:val="auto"/>
          <w:kern w:val="0"/>
          <w:sz w:val="24"/>
          <w:highlight w:val="none"/>
          <w:lang w:val="en-US" w:eastAsia="zh-CN"/>
        </w:rPr>
        <w:t>八</w:t>
      </w:r>
      <w:r>
        <w:rPr>
          <w:rFonts w:hint="eastAsia" w:ascii="宋体" w:hAnsi="宋体" w:eastAsia="宋体" w:cs="宋体"/>
          <w:color w:val="auto"/>
          <w:kern w:val="0"/>
          <w:sz w:val="24"/>
          <w:highlight w:val="none"/>
        </w:rPr>
        <w:t>条 本区域内停车场 (库)的管理由乙方与车位使用人签订停车管理服务协议，约定具体的收费标准和双方在车位使用及车位管理方面的权利义务。政府对此有规定的，按规定执行。</w:t>
      </w:r>
      <w:r>
        <w:rPr>
          <w:rFonts w:hint="eastAsia" w:ascii="宋体" w:hAnsi="宋体" w:eastAsia="宋体" w:cs="宋体"/>
          <w:b/>
          <w:color w:val="auto"/>
          <w:kern w:val="0"/>
          <w:sz w:val="24"/>
          <w:highlight w:val="none"/>
        </w:rPr>
        <w:t>人防地下室的车位按相关文件执行物业公司不得私自</w:t>
      </w:r>
      <w:r>
        <w:rPr>
          <w:rFonts w:hint="eastAsia" w:ascii="宋体" w:hAnsi="宋体" w:eastAsia="宋体" w:cs="宋体"/>
          <w:b/>
          <w:color w:val="auto"/>
          <w:kern w:val="0"/>
          <w:sz w:val="24"/>
          <w:highlight w:val="none"/>
          <w:lang w:val="en-US" w:eastAsia="zh-CN"/>
        </w:rPr>
        <w:t>出</w:t>
      </w:r>
      <w:r>
        <w:rPr>
          <w:rFonts w:hint="eastAsia" w:ascii="宋体" w:hAnsi="宋体" w:eastAsia="宋体" w:cs="宋体"/>
          <w:b/>
          <w:color w:val="auto"/>
          <w:kern w:val="0"/>
          <w:sz w:val="24"/>
          <w:highlight w:val="none"/>
        </w:rPr>
        <w:t>售。</w:t>
      </w:r>
      <w:r>
        <w:rPr>
          <w:rFonts w:hint="eastAsia" w:ascii="宋体" w:hAnsi="宋体" w:eastAsia="宋体" w:cs="宋体"/>
          <w:b/>
          <w:color w:val="auto"/>
          <w:kern w:val="0"/>
          <w:sz w:val="24"/>
          <w:highlight w:val="none"/>
          <w:lang w:val="en-US" w:eastAsia="zh-CN"/>
        </w:rPr>
        <w:t>出租按《物业管理条例》相关规定执行。</w:t>
      </w:r>
    </w:p>
    <w:p w14:paraId="7CC4D077">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w:t>
      </w:r>
      <w:r>
        <w:rPr>
          <w:rFonts w:hint="eastAsia" w:ascii="宋体" w:hAnsi="宋体" w:eastAsia="宋体" w:cs="宋体"/>
          <w:color w:val="auto"/>
          <w:kern w:val="0"/>
          <w:sz w:val="24"/>
          <w:highlight w:val="none"/>
          <w:lang w:val="en-US" w:eastAsia="zh-CN"/>
        </w:rPr>
        <w:t>九</w:t>
      </w:r>
      <w:r>
        <w:rPr>
          <w:rFonts w:hint="eastAsia" w:ascii="宋体" w:hAnsi="宋体" w:eastAsia="宋体" w:cs="宋体"/>
          <w:color w:val="auto"/>
          <w:kern w:val="0"/>
          <w:sz w:val="24"/>
          <w:highlight w:val="none"/>
        </w:rPr>
        <w:t>条 乙方承接物业前，甲方配合乙方对物业共用部位、共用设施设备进行查验。经查验，甲乙双方以书面形式确认存在问题，甲方在物业正式交付前解决上述存在问题。</w:t>
      </w:r>
    </w:p>
    <w:p w14:paraId="5953B561">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w:t>
      </w:r>
      <w:r>
        <w:rPr>
          <w:rFonts w:hint="eastAsia" w:ascii="宋体" w:hAnsi="宋体" w:eastAsia="宋体" w:cs="宋体"/>
          <w:color w:val="auto"/>
          <w:kern w:val="0"/>
          <w:sz w:val="24"/>
          <w:highlight w:val="none"/>
          <w:lang w:val="en-US" w:eastAsia="zh-CN"/>
        </w:rPr>
        <w:t>十</w:t>
      </w:r>
      <w:r>
        <w:rPr>
          <w:rFonts w:hint="eastAsia" w:ascii="宋体" w:hAnsi="宋体" w:eastAsia="宋体" w:cs="宋体"/>
          <w:color w:val="auto"/>
          <w:kern w:val="0"/>
          <w:sz w:val="24"/>
          <w:highlight w:val="none"/>
        </w:rPr>
        <w:t xml:space="preserve">条 甲方于物业交付前 </w:t>
      </w:r>
      <w:r>
        <w:rPr>
          <w:rFonts w:hint="eastAsia" w:ascii="宋体" w:hAnsi="宋体" w:eastAsia="宋体" w:cs="宋体"/>
          <w:color w:val="auto"/>
          <w:kern w:val="0"/>
          <w:sz w:val="24"/>
          <w:highlight w:val="none"/>
          <w:u w:val="single"/>
        </w:rPr>
        <w:t>三十天</w:t>
      </w:r>
      <w:r>
        <w:rPr>
          <w:rFonts w:hint="eastAsia" w:ascii="宋体" w:hAnsi="宋体" w:eastAsia="宋体" w:cs="宋体"/>
          <w:color w:val="auto"/>
          <w:kern w:val="0"/>
          <w:sz w:val="24"/>
          <w:highlight w:val="none"/>
        </w:rPr>
        <w:t>(七天/十天/三十天)，向乙方提供能够直接投入使用的物业管理服务用房，</w:t>
      </w:r>
      <w:r>
        <w:rPr>
          <w:rFonts w:hint="eastAsia" w:ascii="宋体" w:hAnsi="宋体" w:eastAsia="宋体" w:cs="宋体"/>
          <w:color w:val="auto"/>
          <w:kern w:val="0"/>
          <w:sz w:val="24"/>
          <w:highlight w:val="none"/>
          <w:lang w:val="en-US" w:eastAsia="zh-CN"/>
        </w:rPr>
        <w:t>由乙方根据前期介入费明细</w:t>
      </w:r>
      <w:r>
        <w:rPr>
          <w:rFonts w:hint="eastAsia" w:ascii="宋体" w:hAnsi="宋体" w:eastAsia="宋体" w:cs="宋体"/>
          <w:color w:val="auto"/>
          <w:kern w:val="0"/>
          <w:sz w:val="24"/>
          <w:highlight w:val="none"/>
        </w:rPr>
        <w:t>配置物业管理所需的必要用品，所有权归属于甲方，前期管理阶段由乙方使用；所有物品清单由甲乙双方签章确认。</w:t>
      </w:r>
    </w:p>
    <w:p w14:paraId="4C0F1761">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物业管理服务用房建筑面积</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rPr>
        <w:t>平</w:t>
      </w:r>
      <w:r>
        <w:rPr>
          <w:rFonts w:hint="eastAsia" w:ascii="宋体" w:hAnsi="宋体" w:eastAsia="宋体" w:cs="宋体"/>
          <w:color w:val="auto"/>
          <w:kern w:val="0"/>
          <w:sz w:val="24"/>
          <w:highlight w:val="none"/>
        </w:rPr>
        <w:t>方米，属全体业主共有，物业用房位于</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single"/>
        </w:rPr>
        <w:t>号楼</w:t>
      </w:r>
      <w:r>
        <w:rPr>
          <w:rFonts w:hint="eastAsia" w:ascii="宋体" w:hAnsi="宋体" w:eastAsia="宋体" w:cs="宋体"/>
          <w:color w:val="auto"/>
          <w:kern w:val="0"/>
          <w:sz w:val="24"/>
          <w:highlight w:val="none"/>
        </w:rPr>
        <w:t>，乙方在本合同期限内无偿使用，但不得更改其用途。</w:t>
      </w:r>
    </w:p>
    <w:p w14:paraId="0BB7EC64">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第十</w:t>
      </w:r>
      <w:r>
        <w:rPr>
          <w:rFonts w:hint="eastAsia" w:ascii="宋体" w:hAnsi="宋体" w:eastAsia="宋体" w:cs="宋体"/>
          <w:color w:val="auto"/>
          <w:kern w:val="0"/>
          <w:sz w:val="24"/>
          <w:highlight w:val="none"/>
          <w:lang w:val="en-US" w:eastAsia="zh-CN"/>
        </w:rPr>
        <w:t>一</w:t>
      </w:r>
      <w:r>
        <w:rPr>
          <w:rFonts w:hint="eastAsia" w:ascii="宋体" w:hAnsi="宋体" w:eastAsia="宋体" w:cs="宋体"/>
          <w:color w:val="auto"/>
          <w:kern w:val="0"/>
          <w:sz w:val="24"/>
          <w:highlight w:val="none"/>
        </w:rPr>
        <w:t>条 甲方将符合交付使用条件的物业移交给乙方管理，并与乙方办理物业管理书面交接手续，本物业不符合交付使用条件，乙方有权拒绝接收。</w:t>
      </w:r>
    </w:p>
    <w:p w14:paraId="12789CA9">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第十</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rPr>
        <w:t>条 物业交付前，甲方应配合乙方制订本物业管理区域内物业共用部位和共用设施设备的使用、公共秩序和环境卫生的维护等方面的管理制度，并检查督促乙方对管理制度的执行情况。</w:t>
      </w:r>
    </w:p>
    <w:p w14:paraId="6AB10B1D">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乙方根据本合同约定以及本区域管理制度提供管理服务时，甲方及物业使用人应给予配合。</w:t>
      </w:r>
    </w:p>
    <w:p w14:paraId="3F95C79F">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第十</w:t>
      </w: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条 乙方可采取劝阻、报告有关行政管理部门、诉讼等必要措施制止物业使用人违反本区域管理制度的行为；但因此产生的费用(该费用包括但不限于诉讼费、律师费、鉴定费等)由违规者承担，如由非业主使用人承担时，业主使用人负有连带责任。</w:t>
      </w:r>
    </w:p>
    <w:p w14:paraId="26979EBB">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第十</w:t>
      </w: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条 乙方应当与装饰装修房屋的物业使用人签订书面的装饰装修管理服务协议，就允许施工的时间、废弃物的清运与处置、装修质量引起的纠纷责任、装修施工人员的管理、装修管理服务费用、国家装饰装修规定等事项进行约定，并事先告知物业使用人装饰装修中的禁止行为和注意事项。甲方对装饰装修事项有特殊要求的，应当与物业使用人在相关书面文件中约定。</w:t>
      </w:r>
    </w:p>
    <w:p w14:paraId="2A94BEAA">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第十</w:t>
      </w:r>
      <w:r>
        <w:rPr>
          <w:rFonts w:hint="eastAsia" w:ascii="宋体" w:hAnsi="宋体" w:eastAsia="宋体" w:cs="宋体"/>
          <w:color w:val="auto"/>
          <w:kern w:val="0"/>
          <w:sz w:val="24"/>
          <w:highlight w:val="none"/>
          <w:lang w:val="en-US" w:eastAsia="zh-CN"/>
        </w:rPr>
        <w:t>五</w:t>
      </w:r>
      <w:r>
        <w:rPr>
          <w:rFonts w:hint="eastAsia" w:ascii="宋体" w:hAnsi="宋体" w:eastAsia="宋体" w:cs="宋体"/>
          <w:color w:val="auto"/>
          <w:kern w:val="0"/>
          <w:sz w:val="24"/>
          <w:highlight w:val="none"/>
        </w:rPr>
        <w:t>条 物业交付使用后，甲方应按照《住宅质量保证书》和《住宅使用说明书》等承诺的保修期限和保修范围承担物业的保修责任。保修期内，甲乙双方按以下方式操作:</w:t>
      </w:r>
    </w:p>
    <w:p w14:paraId="181FA53E">
      <w:pPr>
        <w:widowControl/>
        <w:spacing w:line="440" w:lineRule="exact"/>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建筑质量问题由甲方自行维修。</w:t>
      </w:r>
    </w:p>
    <w:p w14:paraId="78650946">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第十</w:t>
      </w:r>
      <w:r>
        <w:rPr>
          <w:rFonts w:hint="eastAsia" w:ascii="宋体" w:hAnsi="宋体" w:eastAsia="宋体" w:cs="宋体"/>
          <w:color w:val="auto"/>
          <w:kern w:val="0"/>
          <w:sz w:val="24"/>
          <w:highlight w:val="none"/>
          <w:lang w:val="en-US" w:eastAsia="zh-CN"/>
        </w:rPr>
        <w:t>六</w:t>
      </w:r>
      <w:r>
        <w:rPr>
          <w:rFonts w:hint="eastAsia" w:ascii="宋体" w:hAnsi="宋体" w:eastAsia="宋体" w:cs="宋体"/>
          <w:color w:val="auto"/>
          <w:kern w:val="0"/>
          <w:sz w:val="24"/>
          <w:highlight w:val="none"/>
        </w:rPr>
        <w:t>条 乙方违反本合同约定和政府收费方面的规定，擅自收费或擅自提高收费标准的，对于擅自收费部分或超出标准部分，甲方有权拒绝支付:乙方已经收取的，应当返还。</w:t>
      </w:r>
    </w:p>
    <w:p w14:paraId="084CE69A">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第十</w:t>
      </w:r>
      <w:r>
        <w:rPr>
          <w:rFonts w:hint="eastAsia" w:ascii="宋体" w:hAnsi="宋体" w:eastAsia="宋体" w:cs="宋体"/>
          <w:color w:val="auto"/>
          <w:kern w:val="0"/>
          <w:sz w:val="24"/>
          <w:highlight w:val="none"/>
          <w:lang w:val="en-US" w:eastAsia="zh-CN"/>
        </w:rPr>
        <w:t>七</w:t>
      </w:r>
      <w:r>
        <w:rPr>
          <w:rFonts w:hint="eastAsia" w:ascii="宋体" w:hAnsi="宋体" w:eastAsia="宋体" w:cs="宋体"/>
          <w:color w:val="auto"/>
          <w:kern w:val="0"/>
          <w:sz w:val="24"/>
          <w:highlight w:val="none"/>
        </w:rPr>
        <w:t>条 以下情况乙方不承担责任:</w:t>
      </w:r>
    </w:p>
    <w:p w14:paraId="1D95164C">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1、因不可抗力导致物业管理服务中断的:</w:t>
      </w:r>
    </w:p>
    <w:p w14:paraId="692880AA">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2、乙方已履行本合同约定义务，但因物业本身固有瑕疵造成损失的；</w:t>
      </w:r>
    </w:p>
    <w:p w14:paraId="4BF78AC4">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3、因维修养护物业共用部位、共用设施设备需要且事先已告知甲方和物业使用人，暂时停水、停电、停止共用设施设备使用等造成损失的；</w:t>
      </w:r>
    </w:p>
    <w:p w14:paraId="13E6D71B">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4、因非乙方责任出现供水、供电、供气、通讯、有线电视及其他共用设施设备运行障碍造成损失的；</w:t>
      </w:r>
    </w:p>
    <w:p w14:paraId="2F658777">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5、除上述条款外，其他不可归责于乙方的事由。</w:t>
      </w:r>
    </w:p>
    <w:p w14:paraId="412FE772">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第十</w:t>
      </w:r>
      <w:r>
        <w:rPr>
          <w:rFonts w:hint="eastAsia" w:ascii="宋体" w:hAnsi="宋体" w:eastAsia="宋体" w:cs="宋体"/>
          <w:color w:val="auto"/>
          <w:kern w:val="0"/>
          <w:sz w:val="24"/>
          <w:highlight w:val="none"/>
          <w:lang w:val="en-US" w:eastAsia="zh-CN"/>
        </w:rPr>
        <w:t>八</w:t>
      </w:r>
      <w:r>
        <w:rPr>
          <w:rFonts w:hint="eastAsia" w:ascii="宋体" w:hAnsi="宋体" w:eastAsia="宋体" w:cs="宋体"/>
          <w:color w:val="auto"/>
          <w:kern w:val="0"/>
          <w:sz w:val="24"/>
          <w:highlight w:val="none"/>
        </w:rPr>
        <w:t>条 合同期暂定3年，合同具体起止日期：自合同生效之日起至业主委员会成立</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首届业主大会召开之日止。</w:t>
      </w:r>
    </w:p>
    <w:p w14:paraId="6F218FE8">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第十</w:t>
      </w:r>
      <w:r>
        <w:rPr>
          <w:rFonts w:hint="eastAsia" w:ascii="宋体" w:hAnsi="宋体" w:eastAsia="宋体" w:cs="宋体"/>
          <w:color w:val="auto"/>
          <w:kern w:val="0"/>
          <w:sz w:val="24"/>
          <w:highlight w:val="none"/>
          <w:lang w:val="en-US" w:eastAsia="zh-CN"/>
        </w:rPr>
        <w:t>九</w:t>
      </w:r>
      <w:r>
        <w:rPr>
          <w:rFonts w:hint="eastAsia" w:ascii="宋体" w:hAnsi="宋体" w:eastAsia="宋体" w:cs="宋体"/>
          <w:color w:val="auto"/>
          <w:kern w:val="0"/>
          <w:sz w:val="24"/>
          <w:highlight w:val="none"/>
        </w:rPr>
        <w:t>条 其他约定事项:</w:t>
      </w:r>
    </w:p>
    <w:p w14:paraId="5497D720">
      <w:pPr>
        <w:widowControl/>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物业公共服务费缴纳义务人违反本协议约定，逾期支付前期物业公共服务费的，乙方有权要求缴纳义务人支付，并按应付金额每日万分之五支付违约金，同时可要求相关人员承担乙方因主张权利而产生的律师费、诉讼费等-切费用。</w:t>
      </w:r>
    </w:p>
    <w:p w14:paraId="470F1E40">
      <w:pPr>
        <w:widowControl/>
        <w:spacing w:line="360" w:lineRule="auto"/>
        <w:ind w:firstLine="480" w:firstLineChars="200"/>
        <w:rPr>
          <w:rFonts w:hint="eastAsia" w:ascii="宋体" w:hAnsi="宋体" w:eastAsia="宋体" w:cs="宋体"/>
          <w:color w:val="auto"/>
          <w:kern w:val="0"/>
          <w:sz w:val="24"/>
          <w:highlight w:val="none"/>
          <w:u w:val="single"/>
          <w:lang w:val="en-US" w:eastAsia="zh-CN"/>
        </w:rPr>
      </w:pPr>
      <w:r>
        <w:rPr>
          <w:rFonts w:hint="eastAsia" w:ascii="宋体" w:hAnsi="宋体" w:eastAsia="宋体" w:cs="宋体"/>
          <w:color w:val="auto"/>
          <w:kern w:val="0"/>
          <w:sz w:val="24"/>
          <w:highlight w:val="none"/>
        </w:rPr>
        <w:t>2、</w:t>
      </w:r>
      <w:r>
        <w:rPr>
          <w:rFonts w:hint="eastAsia" w:ascii="宋体" w:hAnsi="宋体" w:eastAsia="宋体" w:cs="宋体"/>
          <w:color w:val="auto"/>
          <w:kern w:val="0"/>
          <w:sz w:val="24"/>
          <w:highlight w:val="none"/>
          <w:u w:val="single"/>
        </w:rPr>
        <w:t>物业服务等级</w:t>
      </w:r>
      <w:r>
        <w:rPr>
          <w:rFonts w:hint="eastAsia" w:ascii="宋体" w:hAnsi="宋体" w:eastAsia="宋体" w:cs="宋体"/>
          <w:color w:val="auto"/>
          <w:kern w:val="0"/>
          <w:sz w:val="24"/>
          <w:highlight w:val="none"/>
          <w:u w:val="single"/>
          <w:lang w:val="en-US" w:eastAsia="zh-CN"/>
        </w:rPr>
        <w:t>按《如东城建指挥部（2023）9号关于如东县高品质住宅和非普通住宅认定标准和认定流程相关事宜的会议纪要》，参照改善型高品质住宅标准执行。</w:t>
      </w:r>
    </w:p>
    <w:p w14:paraId="493F4478">
      <w:pPr>
        <w:pStyle w:val="9"/>
        <w:spacing w:after="0" w:line="360" w:lineRule="auto"/>
        <w:ind w:firstLine="480" w:firstLineChars="200"/>
        <w:rPr>
          <w:rFonts w:hint="eastAsia" w:ascii="宋体" w:hAnsi="宋体" w:eastAsia="宋体" w:cs="宋体"/>
          <w:color w:val="auto"/>
          <w:highlight w:val="none"/>
          <w:u w:val="single"/>
        </w:rPr>
      </w:pPr>
      <w:r>
        <w:rPr>
          <w:rFonts w:hint="eastAsia" w:ascii="宋体" w:hAnsi="宋体" w:eastAsia="宋体" w:cs="宋体"/>
          <w:color w:val="auto"/>
          <w:kern w:val="0"/>
          <w:sz w:val="24"/>
          <w:highlight w:val="none"/>
          <w:u w:val="none"/>
        </w:rPr>
        <w:t>3、</w:t>
      </w:r>
      <w:r>
        <w:rPr>
          <w:rFonts w:hint="eastAsia" w:ascii="宋体" w:hAnsi="宋体" w:eastAsia="宋体" w:cs="宋体"/>
          <w:color w:val="auto"/>
          <w:kern w:val="0"/>
          <w:sz w:val="24"/>
          <w:highlight w:val="none"/>
          <w:u w:val="single"/>
        </w:rPr>
        <w:t>实行物业管理的小区居民小区卫生保洁及生活垃圾清运费已计入物业公共服务费成本，物业服务企业不得再向业主或物业使用人另行收取</w:t>
      </w:r>
      <w:r>
        <w:rPr>
          <w:rFonts w:hint="eastAsia" w:ascii="宋体" w:hAnsi="宋体" w:eastAsia="宋体" w:cs="宋体"/>
          <w:color w:val="auto"/>
          <w:kern w:val="0"/>
          <w:sz w:val="24"/>
          <w:highlight w:val="none"/>
          <w:u w:val="single"/>
          <w:lang w:eastAsia="zh-CN"/>
        </w:rPr>
        <w:t>。</w:t>
      </w:r>
    </w:p>
    <w:p w14:paraId="1D061F27">
      <w:pPr>
        <w:pStyle w:val="10"/>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乙方的管理服务达不到合同约定的服务内容和质量标准，甲方有权要求乙方限期整改，乙方应在约定时间内整改达到符合本合同约定的服务内容和质量标准，若乙方在限期整改后仍达不到合同约定的服务内容和质量标准，则自限期整改届满之日起每日按照合同总价除以3年所得费用的千分之二标准向甲方支付违约金，直到达到合同约定的服务内容和质量标准为止。</w:t>
      </w:r>
    </w:p>
    <w:p w14:paraId="112A8699">
      <w:pPr>
        <w:pStyle w:val="10"/>
        <w:spacing w:line="36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lang w:val="en-US" w:eastAsia="zh-CN"/>
        </w:rPr>
        <w:t xml:space="preserve">5、若相关主管部门或甲方，对乙方负责的消防及电梯维保工作检查中发现维保不到位或整改不到位的，则相关主管部门、甲方将相关检查资料递交至所属街道，由街道根据相应考核办法执行。  </w:t>
      </w:r>
    </w:p>
    <w:p w14:paraId="2218879C">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w:t>
      </w:r>
      <w:r>
        <w:rPr>
          <w:rFonts w:hint="eastAsia" w:ascii="宋体" w:hAnsi="宋体" w:eastAsia="宋体" w:cs="宋体"/>
          <w:color w:val="auto"/>
          <w:kern w:val="0"/>
          <w:sz w:val="24"/>
          <w:highlight w:val="none"/>
          <w:lang w:val="en-US" w:eastAsia="zh-CN"/>
        </w:rPr>
        <w:t>二十</w:t>
      </w:r>
      <w:r>
        <w:rPr>
          <w:rFonts w:hint="eastAsia" w:ascii="宋体" w:hAnsi="宋体" w:eastAsia="宋体" w:cs="宋体"/>
          <w:color w:val="auto"/>
          <w:kern w:val="0"/>
          <w:sz w:val="24"/>
          <w:highlight w:val="none"/>
        </w:rPr>
        <w:t>条 本合同终止时，乙方应将非营业性公建、物业管理相关资料、办公用品等属于甲方所有的财物及时完整地交给甲方。</w:t>
      </w:r>
    </w:p>
    <w:p w14:paraId="49176C6A">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第二十</w:t>
      </w:r>
      <w:r>
        <w:rPr>
          <w:rFonts w:hint="eastAsia" w:ascii="宋体" w:hAnsi="宋体" w:eastAsia="宋体" w:cs="宋体"/>
          <w:color w:val="auto"/>
          <w:kern w:val="0"/>
          <w:sz w:val="24"/>
          <w:highlight w:val="none"/>
          <w:lang w:val="en-US" w:eastAsia="zh-CN"/>
        </w:rPr>
        <w:t>一</w:t>
      </w:r>
      <w:r>
        <w:rPr>
          <w:rFonts w:hint="eastAsia" w:ascii="宋体" w:hAnsi="宋体" w:eastAsia="宋体" w:cs="宋体"/>
          <w:color w:val="auto"/>
          <w:kern w:val="0"/>
          <w:sz w:val="24"/>
          <w:highlight w:val="none"/>
        </w:rPr>
        <w:t>条 原招标文件</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投标文件视为本合同的组成部分，具有同等约束力。</w:t>
      </w:r>
    </w:p>
    <w:p w14:paraId="6B02F3B8">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第二十</w:t>
      </w:r>
      <w:r>
        <w:rPr>
          <w:rFonts w:hint="eastAsia" w:ascii="宋体" w:hAnsi="宋体" w:eastAsia="宋体" w:cs="宋体"/>
          <w:color w:val="auto"/>
          <w:kern w:val="0"/>
          <w:sz w:val="24"/>
          <w:highlight w:val="none"/>
          <w:lang w:val="en-US" w:eastAsia="zh-CN"/>
        </w:rPr>
        <w:t>二</w:t>
      </w:r>
      <w:r>
        <w:rPr>
          <w:rFonts w:hint="eastAsia" w:ascii="宋体" w:hAnsi="宋体" w:eastAsia="宋体" w:cs="宋体"/>
          <w:color w:val="auto"/>
          <w:kern w:val="0"/>
          <w:sz w:val="24"/>
          <w:highlight w:val="none"/>
        </w:rPr>
        <w:t>条 本合同的附件为本合同不可分割的组成部分，本合同连同附件共页，一式拾份，甲、乙双方各执</w:t>
      </w:r>
      <w:r>
        <w:rPr>
          <w:rFonts w:hint="eastAsia" w:ascii="宋体" w:hAnsi="宋体" w:eastAsia="宋体" w:cs="宋体"/>
          <w:color w:val="auto"/>
          <w:kern w:val="0"/>
          <w:sz w:val="24"/>
          <w:highlight w:val="none"/>
          <w:u w:val="single"/>
        </w:rPr>
        <w:t>肆</w:t>
      </w:r>
      <w:r>
        <w:rPr>
          <w:rFonts w:hint="eastAsia" w:ascii="宋体" w:hAnsi="宋体" w:eastAsia="宋体" w:cs="宋体"/>
          <w:color w:val="auto"/>
          <w:kern w:val="0"/>
          <w:sz w:val="24"/>
          <w:highlight w:val="none"/>
        </w:rPr>
        <w:t>份，行政主管部门备案存档</w:t>
      </w:r>
      <w:r>
        <w:rPr>
          <w:rFonts w:hint="eastAsia" w:ascii="宋体" w:hAnsi="宋体" w:eastAsia="宋体" w:cs="宋体"/>
          <w:color w:val="auto"/>
          <w:kern w:val="0"/>
          <w:sz w:val="24"/>
          <w:highlight w:val="none"/>
          <w:u w:val="single"/>
        </w:rPr>
        <w:t>贰</w:t>
      </w:r>
      <w:r>
        <w:rPr>
          <w:rFonts w:hint="eastAsia" w:ascii="宋体" w:hAnsi="宋体" w:eastAsia="宋体" w:cs="宋体"/>
          <w:color w:val="auto"/>
          <w:kern w:val="0"/>
          <w:sz w:val="24"/>
          <w:highlight w:val="none"/>
        </w:rPr>
        <w:t>份，具有同等法律效力。本合同自双方签字、盖章后生效。</w:t>
      </w:r>
    </w:p>
    <w:p w14:paraId="475FABBF">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第二十</w:t>
      </w: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条 本合同在履行中发生争议，由双方协商解决，协商不成，双方可选择以下第2种方式处理:</w:t>
      </w:r>
    </w:p>
    <w:p w14:paraId="15A6CB60">
      <w:pPr>
        <w:widowControl/>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1、向</w:t>
      </w:r>
      <w:r>
        <w:rPr>
          <w:rFonts w:hint="eastAsia" w:ascii="宋体" w:hAnsi="宋体" w:eastAsia="宋体" w:cs="宋体"/>
          <w:color w:val="auto"/>
          <w:kern w:val="0"/>
          <w:sz w:val="24"/>
          <w:highlight w:val="none"/>
          <w:lang w:val="en-US" w:eastAsia="zh-CN"/>
        </w:rPr>
        <w:t>如东县</w:t>
      </w:r>
      <w:r>
        <w:rPr>
          <w:rFonts w:hint="eastAsia" w:ascii="宋体" w:hAnsi="宋体" w:eastAsia="宋体" w:cs="宋体"/>
          <w:color w:val="auto"/>
          <w:kern w:val="0"/>
          <w:sz w:val="24"/>
          <w:highlight w:val="none"/>
        </w:rPr>
        <w:t>仲裁委员会申请仲裁</w:t>
      </w:r>
      <w:r>
        <w:rPr>
          <w:rFonts w:hint="eastAsia" w:ascii="宋体" w:hAnsi="宋体" w:eastAsia="宋体" w:cs="宋体"/>
          <w:color w:val="auto"/>
          <w:kern w:val="0"/>
          <w:sz w:val="24"/>
          <w:highlight w:val="none"/>
          <w:lang w:eastAsia="zh-CN"/>
        </w:rPr>
        <w:t>；</w:t>
      </w:r>
    </w:p>
    <w:p w14:paraId="65F86100">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2、向开发建设单位所在地人民法院提起诉讼。</w:t>
      </w:r>
    </w:p>
    <w:p w14:paraId="3B74937D">
      <w:pPr>
        <w:widowControl/>
        <w:spacing w:line="440" w:lineRule="exact"/>
        <w:ind w:firstLine="480" w:firstLineChars="200"/>
        <w:rPr>
          <w:rFonts w:hint="eastAsia" w:ascii="宋体" w:hAnsi="宋体" w:eastAsia="宋体" w:cs="宋体"/>
          <w:color w:val="auto"/>
          <w:kern w:val="0"/>
          <w:sz w:val="24"/>
          <w:highlight w:val="none"/>
        </w:rPr>
      </w:pPr>
    </w:p>
    <w:p w14:paraId="1EFDC89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乙方</w:t>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盖章</w:t>
      </w:r>
      <w:r>
        <w:rPr>
          <w:rFonts w:hint="eastAsia" w:ascii="宋体" w:hAnsi="宋体" w:eastAsia="宋体" w:cs="宋体"/>
          <w:color w:val="auto"/>
          <w:sz w:val="24"/>
          <w:szCs w:val="24"/>
          <w:highlight w:val="none"/>
        </w:rPr>
        <w:t>)</w:t>
      </w:r>
    </w:p>
    <w:p w14:paraId="591A9D1B">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5EC1BC3C">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法定代表人或其委托代理人：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法定代表人或其委托代理人：</w:t>
      </w:r>
    </w:p>
    <w:p w14:paraId="4ADC4EA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（签字）</w:t>
      </w:r>
    </w:p>
    <w:p w14:paraId="2B4703E6">
      <w:pPr>
        <w:rPr>
          <w:rFonts w:hint="eastAsia" w:ascii="宋体" w:hAnsi="宋体" w:eastAsia="宋体" w:cs="宋体"/>
          <w:b/>
          <w:bCs/>
          <w:color w:val="auto"/>
          <w:kern w:val="0"/>
          <w:sz w:val="28"/>
          <w:szCs w:val="28"/>
          <w:highlight w:val="none"/>
        </w:rPr>
      </w:pPr>
    </w:p>
    <w:p w14:paraId="6E59CBFA">
      <w:pPr>
        <w:rPr>
          <w:rFonts w:hint="eastAsia" w:ascii="宋体" w:hAnsi="宋体" w:eastAsia="宋体" w:cs="宋体"/>
          <w:b/>
          <w:bCs/>
          <w:color w:val="auto"/>
          <w:kern w:val="0"/>
          <w:sz w:val="28"/>
          <w:szCs w:val="28"/>
          <w:highlight w:val="none"/>
        </w:rPr>
      </w:pPr>
    </w:p>
    <w:p w14:paraId="542F2F2C">
      <w:pPr>
        <w:rPr>
          <w:rFonts w:hint="eastAsia" w:ascii="宋体" w:hAnsi="宋体" w:eastAsia="宋体" w:cs="宋体"/>
          <w:b/>
          <w:bCs/>
          <w:color w:val="auto"/>
          <w:kern w:val="0"/>
          <w:sz w:val="28"/>
          <w:szCs w:val="28"/>
          <w:highlight w:val="none"/>
        </w:rPr>
      </w:pPr>
    </w:p>
    <w:p w14:paraId="798C86C2">
      <w:pPr>
        <w:rPr>
          <w:rFonts w:hint="eastAsia" w:ascii="宋体" w:hAnsi="宋体" w:eastAsia="宋体" w:cs="宋体"/>
          <w:b/>
          <w:bCs/>
          <w:color w:val="auto"/>
          <w:kern w:val="0"/>
          <w:sz w:val="28"/>
          <w:szCs w:val="28"/>
          <w:highlight w:val="none"/>
        </w:rPr>
      </w:pPr>
    </w:p>
    <w:p w14:paraId="4E0BC87E">
      <w:pPr>
        <w:rPr>
          <w:rFonts w:hint="eastAsia" w:ascii="宋体" w:hAnsi="宋体" w:eastAsia="宋体" w:cs="宋体"/>
          <w:b/>
          <w:bCs/>
          <w:color w:val="auto"/>
          <w:kern w:val="0"/>
          <w:sz w:val="28"/>
          <w:szCs w:val="28"/>
          <w:highlight w:val="none"/>
        </w:rPr>
      </w:pPr>
    </w:p>
    <w:p w14:paraId="2317BB6A">
      <w:pPr>
        <w:rPr>
          <w:rFonts w:hint="eastAsia" w:ascii="宋体" w:hAnsi="宋体" w:eastAsia="宋体" w:cs="宋体"/>
          <w:b/>
          <w:bCs/>
          <w:color w:val="auto"/>
          <w:kern w:val="0"/>
          <w:sz w:val="28"/>
          <w:szCs w:val="28"/>
          <w:highlight w:val="none"/>
        </w:rPr>
      </w:pPr>
    </w:p>
    <w:p w14:paraId="1B520A55">
      <w:pPr>
        <w:rPr>
          <w:rFonts w:hint="eastAsia" w:ascii="宋体" w:hAnsi="宋体" w:eastAsia="宋体" w:cs="宋体"/>
          <w:b/>
          <w:bCs/>
          <w:color w:val="auto"/>
          <w:kern w:val="0"/>
          <w:sz w:val="28"/>
          <w:szCs w:val="28"/>
          <w:highlight w:val="none"/>
        </w:rPr>
      </w:pPr>
    </w:p>
    <w:p w14:paraId="494FE79C">
      <w:pPr>
        <w:rPr>
          <w:rFonts w:hint="eastAsia" w:ascii="宋体" w:hAnsi="宋体" w:eastAsia="宋体" w:cs="宋体"/>
          <w:b/>
          <w:bCs/>
          <w:color w:val="auto"/>
          <w:kern w:val="0"/>
          <w:sz w:val="28"/>
          <w:szCs w:val="28"/>
          <w:highlight w:val="none"/>
        </w:rPr>
      </w:pPr>
    </w:p>
    <w:p w14:paraId="06AAF4E2">
      <w:pPr>
        <w:rPr>
          <w:rFonts w:hint="eastAsia" w:ascii="宋体" w:hAnsi="宋体" w:eastAsia="宋体" w:cs="宋体"/>
          <w:b/>
          <w:bCs/>
          <w:color w:val="auto"/>
          <w:kern w:val="0"/>
          <w:sz w:val="28"/>
          <w:szCs w:val="28"/>
          <w:highlight w:val="none"/>
        </w:rPr>
      </w:pPr>
    </w:p>
    <w:p w14:paraId="2D06B3F1">
      <w:pPr>
        <w:rPr>
          <w:rFonts w:hint="eastAsia" w:ascii="宋体" w:hAnsi="宋体" w:eastAsia="宋体" w:cs="宋体"/>
          <w:b/>
          <w:bCs/>
          <w:color w:val="auto"/>
          <w:kern w:val="0"/>
          <w:sz w:val="28"/>
          <w:szCs w:val="28"/>
          <w:highlight w:val="none"/>
        </w:rPr>
      </w:pPr>
    </w:p>
    <w:p w14:paraId="137A7448">
      <w:pPr>
        <w:rPr>
          <w:rFonts w:hint="eastAsia" w:ascii="宋体" w:hAnsi="宋体" w:eastAsia="宋体" w:cs="宋体"/>
          <w:b/>
          <w:bCs/>
          <w:color w:val="auto"/>
          <w:kern w:val="0"/>
          <w:sz w:val="28"/>
          <w:szCs w:val="28"/>
          <w:highlight w:val="none"/>
        </w:rPr>
      </w:pPr>
    </w:p>
    <w:p w14:paraId="6A49E98A">
      <w:pPr>
        <w:rPr>
          <w:rFonts w:hint="eastAsia" w:ascii="宋体" w:hAnsi="宋体" w:eastAsia="宋体" w:cs="宋体"/>
          <w:b/>
          <w:bCs/>
          <w:color w:val="auto"/>
          <w:kern w:val="0"/>
          <w:sz w:val="28"/>
          <w:szCs w:val="28"/>
          <w:highlight w:val="none"/>
        </w:rPr>
      </w:pPr>
    </w:p>
    <w:p w14:paraId="2B706E6D">
      <w:pPr>
        <w:rPr>
          <w:rFonts w:hint="eastAsia" w:ascii="宋体" w:hAnsi="宋体" w:eastAsia="宋体" w:cs="宋体"/>
          <w:b/>
          <w:bCs/>
          <w:color w:val="auto"/>
          <w:kern w:val="0"/>
          <w:sz w:val="28"/>
          <w:szCs w:val="28"/>
          <w:highlight w:val="none"/>
        </w:rPr>
      </w:pPr>
    </w:p>
    <w:p w14:paraId="6478A96A">
      <w:pPr>
        <w:rPr>
          <w:rFonts w:hint="eastAsia" w:ascii="宋体" w:hAnsi="宋体" w:eastAsia="宋体" w:cs="宋体"/>
          <w:b/>
          <w:bCs/>
          <w:color w:val="auto"/>
          <w:kern w:val="0"/>
          <w:sz w:val="28"/>
          <w:szCs w:val="28"/>
          <w:highlight w:val="none"/>
        </w:rPr>
      </w:pPr>
    </w:p>
    <w:p w14:paraId="328CA0F1">
      <w:pPr>
        <w:pStyle w:val="9"/>
        <w:rPr>
          <w:rFonts w:hint="eastAsia" w:ascii="宋体" w:hAnsi="宋体" w:eastAsia="宋体" w:cs="宋体"/>
          <w:b/>
          <w:bCs/>
          <w:color w:val="auto"/>
          <w:kern w:val="0"/>
          <w:sz w:val="28"/>
          <w:szCs w:val="28"/>
          <w:highlight w:val="none"/>
        </w:rPr>
      </w:pPr>
    </w:p>
    <w:p w14:paraId="4EC01260">
      <w:pPr>
        <w:pStyle w:val="10"/>
        <w:rPr>
          <w:rFonts w:hint="eastAsia" w:ascii="宋体" w:hAnsi="宋体" w:eastAsia="宋体" w:cs="宋体"/>
          <w:b/>
          <w:bCs/>
          <w:color w:val="auto"/>
          <w:kern w:val="0"/>
          <w:sz w:val="28"/>
          <w:szCs w:val="28"/>
          <w:highlight w:val="none"/>
        </w:rPr>
      </w:pPr>
    </w:p>
    <w:p w14:paraId="12C022A7">
      <w:pPr>
        <w:pStyle w:val="10"/>
        <w:rPr>
          <w:rFonts w:hint="eastAsia" w:ascii="宋体" w:hAnsi="宋体" w:eastAsia="宋体" w:cs="宋体"/>
          <w:b/>
          <w:bCs/>
          <w:color w:val="auto"/>
          <w:kern w:val="0"/>
          <w:sz w:val="28"/>
          <w:szCs w:val="28"/>
          <w:highlight w:val="none"/>
        </w:rPr>
      </w:pPr>
    </w:p>
    <w:p w14:paraId="1F7993FF">
      <w:pP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附件目录</w:t>
      </w:r>
    </w:p>
    <w:p w14:paraId="1B15BFC7">
      <w:pPr>
        <w:widowControl/>
        <w:spacing w:line="360" w:lineRule="auto"/>
        <w:ind w:firstLine="480" w:firstLineChars="200"/>
        <w:rPr>
          <w:rFonts w:hint="eastAsia" w:ascii="宋体" w:hAnsi="宋体" w:eastAsia="宋体" w:cs="宋体"/>
          <w:color w:val="auto"/>
          <w:kern w:val="0"/>
          <w:sz w:val="24"/>
          <w:szCs w:val="24"/>
          <w:highlight w:val="none"/>
        </w:rPr>
      </w:pPr>
    </w:p>
    <w:p w14:paraId="69A87FE1">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附件1：费用明细........................第**页    </w:t>
      </w:r>
    </w:p>
    <w:p w14:paraId="1F34253B">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1、前期物业费用.........................第**页</w:t>
      </w:r>
    </w:p>
    <w:p w14:paraId="68512825">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（1）安保器材装备费.....................第**页</w:t>
      </w:r>
    </w:p>
    <w:p w14:paraId="0DC6734A">
      <w:pPr>
        <w:pStyle w:val="1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（2）保洁用品费.........................第**页</w:t>
      </w:r>
    </w:p>
    <w:p w14:paraId="449918B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2、前期介入费明细表</w:t>
      </w:r>
      <w:r>
        <w:rPr>
          <w:rFonts w:hint="eastAsia" w:ascii="宋体" w:hAnsi="宋体" w:eastAsia="宋体" w:cs="宋体"/>
          <w:color w:val="auto"/>
          <w:kern w:val="0"/>
          <w:sz w:val="24"/>
          <w:szCs w:val="24"/>
          <w:highlight w:val="none"/>
        </w:rPr>
        <w:t xml:space="preserve">.....................第**页 </w:t>
      </w:r>
    </w:p>
    <w:p w14:paraId="091E389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（1）开荒费明细</w:t>
      </w:r>
      <w:r>
        <w:rPr>
          <w:rFonts w:hint="eastAsia" w:ascii="宋体" w:hAnsi="宋体" w:eastAsia="宋体" w:cs="宋体"/>
          <w:color w:val="auto"/>
          <w:kern w:val="0"/>
          <w:sz w:val="24"/>
          <w:szCs w:val="24"/>
          <w:highlight w:val="none"/>
        </w:rPr>
        <w:t>.........................第**页</w:t>
      </w:r>
    </w:p>
    <w:p w14:paraId="141F080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（2）承接查验费明细</w:t>
      </w:r>
      <w:r>
        <w:rPr>
          <w:rFonts w:hint="eastAsia" w:ascii="宋体" w:hAnsi="宋体" w:eastAsia="宋体" w:cs="宋体"/>
          <w:color w:val="auto"/>
          <w:kern w:val="0"/>
          <w:sz w:val="24"/>
          <w:szCs w:val="24"/>
          <w:highlight w:val="none"/>
        </w:rPr>
        <w:t>.....................第**页</w:t>
      </w:r>
    </w:p>
    <w:p w14:paraId="27EE5D1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（3）安保耗材费明细</w:t>
      </w:r>
      <w:r>
        <w:rPr>
          <w:rFonts w:hint="eastAsia" w:ascii="宋体" w:hAnsi="宋体" w:eastAsia="宋体" w:cs="宋体"/>
          <w:color w:val="auto"/>
          <w:kern w:val="0"/>
          <w:sz w:val="24"/>
          <w:szCs w:val="24"/>
          <w:highlight w:val="none"/>
        </w:rPr>
        <w:t>.....................第**页</w:t>
      </w:r>
    </w:p>
    <w:p w14:paraId="00C2DD1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（4）办公费用明细</w:t>
      </w:r>
      <w:r>
        <w:rPr>
          <w:rFonts w:hint="eastAsia" w:ascii="宋体" w:hAnsi="宋体" w:eastAsia="宋体" w:cs="宋体"/>
          <w:color w:val="auto"/>
          <w:kern w:val="0"/>
          <w:sz w:val="24"/>
          <w:szCs w:val="24"/>
          <w:highlight w:val="none"/>
        </w:rPr>
        <w:t>.......................第**页</w:t>
      </w:r>
    </w:p>
    <w:p w14:paraId="47841EAB">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附件2：技术标文件...................... 第**页</w:t>
      </w:r>
    </w:p>
    <w:p w14:paraId="6D0918C2">
      <w:pPr>
        <w:pStyle w:val="9"/>
        <w:spacing w:after="0" w:line="360" w:lineRule="auto"/>
        <w:ind w:firstLine="720" w:firstLineChars="3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1、技术文件打分汇总表................  第**页</w:t>
      </w:r>
    </w:p>
    <w:p w14:paraId="40B9BB44">
      <w:pPr>
        <w:pStyle w:val="10"/>
        <w:spacing w:line="360" w:lineRule="auto"/>
        <w:ind w:firstLine="720" w:firstLineChars="300"/>
        <w:rPr>
          <w:rFonts w:hint="eastAsia" w:ascii="宋体" w:hAnsi="宋体" w:eastAsia="宋体" w:cs="宋体"/>
          <w:color w:val="auto"/>
          <w:highlight w:val="none"/>
        </w:rPr>
      </w:pPr>
      <w:r>
        <w:rPr>
          <w:rFonts w:hint="eastAsia" w:ascii="宋体" w:hAnsi="宋体" w:eastAsia="宋体" w:cs="宋体"/>
          <w:color w:val="auto"/>
          <w:sz w:val="24"/>
          <w:szCs w:val="24"/>
          <w:highlight w:val="none"/>
        </w:rPr>
        <w:t>2、其余详见技术标文件................. 第**页</w:t>
      </w:r>
    </w:p>
    <w:p w14:paraId="11781944">
      <w:pPr>
        <w:rPr>
          <w:rFonts w:hint="eastAsia" w:ascii="宋体" w:hAnsi="宋体" w:eastAsia="宋体" w:cs="宋体"/>
          <w:color w:val="auto"/>
          <w:highlight w:val="none"/>
        </w:rPr>
      </w:pPr>
    </w:p>
    <w:p w14:paraId="61467422">
      <w:pPr>
        <w:pStyle w:val="18"/>
        <w:rPr>
          <w:rFonts w:hint="eastAsia" w:ascii="宋体" w:hAnsi="宋体" w:eastAsia="宋体" w:cs="宋体"/>
          <w:color w:val="auto"/>
          <w:highlight w:val="none"/>
        </w:rPr>
      </w:pPr>
      <w:r>
        <w:rPr>
          <w:rFonts w:hint="eastAsia" w:ascii="宋体" w:hAnsi="宋体" w:eastAsia="宋体" w:cs="宋体"/>
          <w:color w:val="auto"/>
          <w:highlight w:val="none"/>
        </w:rPr>
        <w:t xml:space="preserve">     （以下无正文）</w:t>
      </w:r>
    </w:p>
    <w:p w14:paraId="239EAA52">
      <w:pPr>
        <w:pStyle w:val="18"/>
        <w:rPr>
          <w:rFonts w:hint="eastAsia" w:ascii="宋体" w:hAnsi="宋体" w:eastAsia="宋体" w:cs="宋体"/>
          <w:color w:val="auto"/>
          <w:highlight w:val="none"/>
        </w:rPr>
      </w:pPr>
    </w:p>
    <w:p w14:paraId="6352DF87">
      <w:pPr>
        <w:rPr>
          <w:rFonts w:hint="eastAsia" w:ascii="宋体" w:hAnsi="宋体" w:eastAsia="宋体" w:cs="宋体"/>
          <w:color w:val="auto"/>
          <w:highlight w:val="none"/>
        </w:rPr>
      </w:pPr>
    </w:p>
    <w:p w14:paraId="159B471A">
      <w:pPr>
        <w:widowControl/>
        <w:spacing w:line="440" w:lineRule="exact"/>
        <w:ind w:firstLine="480" w:firstLineChars="2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签订时间:     年  月  日</w:t>
      </w:r>
    </w:p>
    <w:p w14:paraId="38D4B199">
      <w:pPr>
        <w:widowControl/>
        <w:spacing w:line="440" w:lineRule="exact"/>
        <w:ind w:firstLine="480" w:firstLineChars="200"/>
        <w:rPr>
          <w:rFonts w:hint="eastAsia" w:ascii="宋体" w:hAnsi="宋体" w:eastAsia="宋体" w:cs="宋体"/>
          <w:color w:val="auto"/>
          <w:kern w:val="0"/>
          <w:sz w:val="24"/>
          <w:highlight w:val="none"/>
        </w:rPr>
      </w:pPr>
    </w:p>
    <w:p w14:paraId="2AE79CCF">
      <w:pPr>
        <w:widowControl/>
        <w:spacing w:line="44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备案部门(签章):</w:t>
      </w:r>
    </w:p>
    <w:p w14:paraId="27A5CD5F">
      <w:pPr>
        <w:widowControl/>
        <w:spacing w:line="440" w:lineRule="exact"/>
        <w:ind w:firstLine="480" w:firstLineChars="200"/>
        <w:jc w:val="right"/>
        <w:rPr>
          <w:rFonts w:hint="eastAsia" w:ascii="宋体" w:hAnsi="宋体" w:eastAsia="宋体" w:cs="宋体"/>
          <w:color w:val="auto"/>
          <w:kern w:val="0"/>
          <w:sz w:val="24"/>
          <w:highlight w:val="none"/>
        </w:rPr>
      </w:pPr>
    </w:p>
    <w:p w14:paraId="01513E3E">
      <w:pPr>
        <w:widowControl/>
        <w:wordWrap w:val="0"/>
        <w:spacing w:line="440" w:lineRule="exact"/>
        <w:ind w:firstLine="480" w:firstLineChars="2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备案时间:     年  月  日</w:t>
      </w:r>
    </w:p>
    <w:p w14:paraId="017A3934">
      <w:pPr>
        <w:spacing w:line="440" w:lineRule="exact"/>
        <w:rPr>
          <w:rFonts w:hint="eastAsia" w:ascii="宋体" w:hAnsi="宋体" w:eastAsia="宋体" w:cs="宋体"/>
          <w:color w:val="auto"/>
          <w:highlight w:val="none"/>
        </w:rPr>
      </w:pPr>
    </w:p>
    <w:p w14:paraId="445D13BB">
      <w:pPr>
        <w:pStyle w:val="10"/>
        <w:rPr>
          <w:rFonts w:hint="eastAsia" w:ascii="宋体" w:hAnsi="宋体" w:eastAsia="宋体" w:cs="宋体"/>
          <w:color w:val="auto"/>
          <w:highlight w:val="none"/>
          <w:lang w:eastAsia="zh-CN"/>
        </w:rPr>
      </w:pPr>
    </w:p>
    <w:sectPr>
      <w:footerReference r:id="rId11" w:type="first"/>
      <w:headerReference r:id="rId9" w:type="default"/>
      <w:footerReference r:id="rId10" w:type="default"/>
      <w:pgSz w:w="11906" w:h="16838"/>
      <w:pgMar w:top="1247" w:right="1276" w:bottom="1440" w:left="1440" w:header="851" w:footer="992"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Bold">
    <w:altName w:val="Arial"/>
    <w:panose1 w:val="00000000000000000000"/>
    <w:charset w:val="00"/>
    <w:family w:val="swiss"/>
    <w:pitch w:val="default"/>
    <w:sig w:usb0="00000000" w:usb1="00000000" w:usb2="00000000" w:usb3="00000000" w:csb0="00000001"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0A020A">
    <w:pPr>
      <w:pStyle w:val="16"/>
      <w:framePr w:wrap="around" w:vAnchor="text" w:hAnchor="margin" w:xAlign="center" w:y="1"/>
      <w:rPr>
        <w:rStyle w:val="26"/>
      </w:rPr>
    </w:pPr>
    <w:r>
      <w:fldChar w:fldCharType="begin"/>
    </w:r>
    <w:r>
      <w:rPr>
        <w:rStyle w:val="26"/>
      </w:rPr>
      <w:instrText xml:space="preserve">PAGE  </w:instrText>
    </w:r>
    <w:r>
      <w:fldChar w:fldCharType="separate"/>
    </w:r>
    <w:r>
      <w:rPr>
        <w:rStyle w:val="26"/>
      </w:rPr>
      <w:t>20</w:t>
    </w:r>
    <w:r>
      <w:fldChar w:fldCharType="end"/>
    </w:r>
  </w:p>
  <w:p w14:paraId="2EBA87E2">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20EEE">
    <w:pPr>
      <w:pStyle w:val="16"/>
      <w:jc w:val="center"/>
    </w:pPr>
  </w:p>
  <w:p w14:paraId="137F1035">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68399">
    <w:pPr>
      <w:snapToGrid w:val="0"/>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771BD16">
                          <w:pPr>
                            <w:pStyle w:val="1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771BD16">
                    <w:pPr>
                      <w:pStyle w:val="16"/>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14:paraId="62DCFE0E">
                          <w:pPr>
                            <w:snapToGrid w:val="0"/>
                            <w:rPr>
                              <w:sz w:val="18"/>
                            </w:rPr>
                          </w:pPr>
                        </w:p>
                      </w:txbxContent>
                    </wps:txbx>
                    <wps:bodyPr wrap="none" lIns="0" tIns="0" rIns="0" bIns="0">
                      <a:spAutoFit/>
                    </wps:bodyPr>
                  </wps:wsp>
                </a:graphicData>
              </a:graphic>
            </wp:anchor>
          </w:drawing>
        </mc:Choice>
        <mc:Fallback>
          <w:pict>
            <v:shape id="文本框 1030"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AMx4DUAAAAAwEAAA8AAAAAAAAAAQAgAAAA&#10;IgAAAGRycy9kb3ducmV2LnhtbFBLAQIUABQAAAAIAIdO4kCtejHO1gEAAKYDAAAOAAAAAAAAAAEA&#10;IAAAACMBAABkcnMvZTJvRG9jLnhtbFBLBQYAAAAABgAGAFkBAABrBQAAAAA=&#10;">
              <v:fill on="f" focussize="0,0"/>
              <v:stroke on="f" weight="1.25pt"/>
              <v:imagedata o:title=""/>
              <o:lock v:ext="edit" aspectratio="f"/>
              <v:textbox inset="0mm,0mm,0mm,0mm" style="mso-fit-shape-to-text:t;">
                <w:txbxContent>
                  <w:p w14:paraId="62DCFE0E">
                    <w:pPr>
                      <w:snapToGrid w:val="0"/>
                      <w:rPr>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F5B45">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C657E6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2C657E6D">
                    <w:pPr>
                      <w:pStyle w:val="16"/>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102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14:paraId="6F7E7B79">
                          <w:pPr>
                            <w:snapToGrid w:val="0"/>
                            <w:rPr>
                              <w:sz w:val="18"/>
                            </w:rPr>
                          </w:pPr>
                        </w:p>
                      </w:txbxContent>
                    </wps:txbx>
                    <wps:bodyPr wrap="none" lIns="0" tIns="0" rIns="0" bIns="0">
                      <a:spAutoFit/>
                    </wps:bodyPr>
                  </wps:wsp>
                </a:graphicData>
              </a:graphic>
            </wp:anchor>
          </w:drawing>
        </mc:Choice>
        <mc:Fallback>
          <w:pict>
            <v:shape id="文本框 1029"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QAzHgNQAAAADAQAADwAAAAAAAAABACAA&#10;AAAiAAAAZHJzL2Rvd25yZXYueG1sUEsBAhQAFAAAAAgAh07iQPJy5/3YAQAApgMAAA4AAAAAAAAA&#10;AQAgAAAAIwEAAGRycy9lMm9Eb2MueG1sUEsFBgAAAAAGAAYAWQEAAG0FAAAAAA==&#10;">
              <v:fill on="f" focussize="0,0"/>
              <v:stroke on="f" weight="1.25pt"/>
              <v:imagedata o:title=""/>
              <o:lock v:ext="edit" aspectratio="f"/>
              <v:textbox inset="0mm,0mm,0mm,0mm" style="mso-fit-shape-to-text:t;">
                <w:txbxContent>
                  <w:p w14:paraId="6F7E7B79">
                    <w:pPr>
                      <w:snapToGrid w:val="0"/>
                      <w:rPr>
                        <w:sz w:val="1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AAE92">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21ED317">
                          <w:pPr>
                            <w:pStyle w:val="16"/>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121ED317">
                    <w:pPr>
                      <w:pStyle w:val="16"/>
                    </w:pPr>
                    <w:r>
                      <w:fldChar w:fldCharType="begin"/>
                    </w:r>
                    <w:r>
                      <w:instrText xml:space="preserve"> PAGE  \* MERGEFORMAT </w:instrText>
                    </w:r>
                    <w:r>
                      <w:fldChar w:fldCharType="separate"/>
                    </w:r>
                    <w:r>
                      <w:t>26</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15875">
                        <a:noFill/>
                      </a:ln>
                      <a:effectLst/>
                    </wps:spPr>
                    <wps:txbx>
                      <w:txbxContent>
                        <w:p w14:paraId="1529FAE6">
                          <w:pPr>
                            <w:pStyle w:val="16"/>
                          </w:pP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Mx4DUAAAAAwEAAA8AAAAA&#10;AAAAAQAgAAAAIgAAAGRycy9kb3ducmV2LnhtbFBLAQIUABQAAAAIAIdO4kDK31933wEAALIDAAAO&#10;AAAAAAAAAAEAIAAAACMBAABkcnMvZTJvRG9jLnhtbFBLBQYAAAAABgAGAFkBAAB0BQAAAAA=&#10;">
              <v:fill on="f" focussize="0,0"/>
              <v:stroke on="f" weight="1.25pt"/>
              <v:imagedata o:title=""/>
              <o:lock v:ext="edit" aspectratio="f"/>
              <v:textbox inset="0mm,0mm,0mm,0mm" style="mso-fit-shape-to-text:t;">
                <w:txbxContent>
                  <w:p w14:paraId="1529FAE6">
                    <w:pPr>
                      <w:pStyle w:val="16"/>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75954">
    <w:pPr>
      <w:tabs>
        <w:tab w:val="center" w:pos="4595"/>
      </w:tabs>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D884D2A">
                          <w:pPr>
                            <w:pStyle w:val="16"/>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3D884D2A">
                    <w:pPr>
                      <w:pStyle w:val="16"/>
                    </w:pPr>
                    <w:r>
                      <w:fldChar w:fldCharType="begin"/>
                    </w:r>
                    <w:r>
                      <w:instrText xml:space="preserve"> PAGE  \* MERGEFORMAT </w:instrText>
                    </w:r>
                    <w:r>
                      <w:fldChar w:fldCharType="separate"/>
                    </w:r>
                    <w:r>
                      <w:t>25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354FF">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3DC96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F7DD7">
    <w:pPr>
      <w:pStyle w:val="1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NDMxZGE0MDViNmU2OTYwMmNlNzNjZDc3Mjk5ODkifQ=="/>
  </w:docVars>
  <w:rsids>
    <w:rsidRoot w:val="00172A27"/>
    <w:rsid w:val="00002863"/>
    <w:rsid w:val="000047A8"/>
    <w:rsid w:val="000130CA"/>
    <w:rsid w:val="00013852"/>
    <w:rsid w:val="00020559"/>
    <w:rsid w:val="0002404E"/>
    <w:rsid w:val="00034496"/>
    <w:rsid w:val="00035FF9"/>
    <w:rsid w:val="00037AD5"/>
    <w:rsid w:val="0004083B"/>
    <w:rsid w:val="0004669A"/>
    <w:rsid w:val="00051E95"/>
    <w:rsid w:val="00053CF7"/>
    <w:rsid w:val="0005759C"/>
    <w:rsid w:val="000600D9"/>
    <w:rsid w:val="000617B2"/>
    <w:rsid w:val="00066EBC"/>
    <w:rsid w:val="00071BD1"/>
    <w:rsid w:val="00071DAB"/>
    <w:rsid w:val="000740F0"/>
    <w:rsid w:val="00075653"/>
    <w:rsid w:val="000776B8"/>
    <w:rsid w:val="00080259"/>
    <w:rsid w:val="000839F3"/>
    <w:rsid w:val="00084BF4"/>
    <w:rsid w:val="00085CF2"/>
    <w:rsid w:val="00091F69"/>
    <w:rsid w:val="00096E40"/>
    <w:rsid w:val="000A1F10"/>
    <w:rsid w:val="000A5B64"/>
    <w:rsid w:val="000A75B3"/>
    <w:rsid w:val="000B112E"/>
    <w:rsid w:val="000B20EF"/>
    <w:rsid w:val="000C0395"/>
    <w:rsid w:val="000C0AE1"/>
    <w:rsid w:val="000C0B24"/>
    <w:rsid w:val="000C4156"/>
    <w:rsid w:val="000C5C41"/>
    <w:rsid w:val="000C7180"/>
    <w:rsid w:val="000D163C"/>
    <w:rsid w:val="000D3357"/>
    <w:rsid w:val="000D40B7"/>
    <w:rsid w:val="000D597D"/>
    <w:rsid w:val="000E0FFB"/>
    <w:rsid w:val="000E1018"/>
    <w:rsid w:val="000E23B7"/>
    <w:rsid w:val="000E7622"/>
    <w:rsid w:val="0010036D"/>
    <w:rsid w:val="0010038D"/>
    <w:rsid w:val="00103224"/>
    <w:rsid w:val="0010406B"/>
    <w:rsid w:val="001067DA"/>
    <w:rsid w:val="00111BF1"/>
    <w:rsid w:val="00112EEF"/>
    <w:rsid w:val="00115B13"/>
    <w:rsid w:val="00126D39"/>
    <w:rsid w:val="001313E0"/>
    <w:rsid w:val="00137C8B"/>
    <w:rsid w:val="00142042"/>
    <w:rsid w:val="00143220"/>
    <w:rsid w:val="001444A2"/>
    <w:rsid w:val="00150384"/>
    <w:rsid w:val="00150EAD"/>
    <w:rsid w:val="00151095"/>
    <w:rsid w:val="001510BA"/>
    <w:rsid w:val="0015153F"/>
    <w:rsid w:val="00151DF4"/>
    <w:rsid w:val="001540C6"/>
    <w:rsid w:val="00154B88"/>
    <w:rsid w:val="00155B7B"/>
    <w:rsid w:val="00162FC4"/>
    <w:rsid w:val="001631CF"/>
    <w:rsid w:val="0016405D"/>
    <w:rsid w:val="00165551"/>
    <w:rsid w:val="00172570"/>
    <w:rsid w:val="00172A27"/>
    <w:rsid w:val="00172AB6"/>
    <w:rsid w:val="0017788E"/>
    <w:rsid w:val="00180231"/>
    <w:rsid w:val="00183F7D"/>
    <w:rsid w:val="00184F1A"/>
    <w:rsid w:val="00191D93"/>
    <w:rsid w:val="0019487D"/>
    <w:rsid w:val="0019641A"/>
    <w:rsid w:val="00196988"/>
    <w:rsid w:val="001A4716"/>
    <w:rsid w:val="001B223C"/>
    <w:rsid w:val="001B28CE"/>
    <w:rsid w:val="001B4064"/>
    <w:rsid w:val="001B40FB"/>
    <w:rsid w:val="001B472C"/>
    <w:rsid w:val="001B5510"/>
    <w:rsid w:val="001C00A8"/>
    <w:rsid w:val="001C4A24"/>
    <w:rsid w:val="001C7943"/>
    <w:rsid w:val="001D1B86"/>
    <w:rsid w:val="001D67AD"/>
    <w:rsid w:val="001D771D"/>
    <w:rsid w:val="001E06EA"/>
    <w:rsid w:val="001E0DBC"/>
    <w:rsid w:val="001E1D13"/>
    <w:rsid w:val="001E454E"/>
    <w:rsid w:val="001E6B1F"/>
    <w:rsid w:val="001F1214"/>
    <w:rsid w:val="001F1D2C"/>
    <w:rsid w:val="001F468C"/>
    <w:rsid w:val="001F63C9"/>
    <w:rsid w:val="001F75C9"/>
    <w:rsid w:val="00203E81"/>
    <w:rsid w:val="0020472A"/>
    <w:rsid w:val="002053BD"/>
    <w:rsid w:val="002066F2"/>
    <w:rsid w:val="002072FE"/>
    <w:rsid w:val="00207922"/>
    <w:rsid w:val="002079B5"/>
    <w:rsid w:val="00215437"/>
    <w:rsid w:val="00215F5C"/>
    <w:rsid w:val="002160C5"/>
    <w:rsid w:val="00217C0E"/>
    <w:rsid w:val="00227E1F"/>
    <w:rsid w:val="002308F2"/>
    <w:rsid w:val="002319AE"/>
    <w:rsid w:val="0023246B"/>
    <w:rsid w:val="00233926"/>
    <w:rsid w:val="00237A6E"/>
    <w:rsid w:val="00241171"/>
    <w:rsid w:val="00242985"/>
    <w:rsid w:val="00250600"/>
    <w:rsid w:val="002518E6"/>
    <w:rsid w:val="0025206A"/>
    <w:rsid w:val="00253655"/>
    <w:rsid w:val="002538DF"/>
    <w:rsid w:val="002613B5"/>
    <w:rsid w:val="00264D09"/>
    <w:rsid w:val="00264F8E"/>
    <w:rsid w:val="0027033D"/>
    <w:rsid w:val="002724E7"/>
    <w:rsid w:val="00275833"/>
    <w:rsid w:val="002831C1"/>
    <w:rsid w:val="0029174B"/>
    <w:rsid w:val="0029361F"/>
    <w:rsid w:val="00293E9D"/>
    <w:rsid w:val="00295FF8"/>
    <w:rsid w:val="00296D11"/>
    <w:rsid w:val="002A0797"/>
    <w:rsid w:val="002A20A5"/>
    <w:rsid w:val="002A2C61"/>
    <w:rsid w:val="002A7557"/>
    <w:rsid w:val="002B0494"/>
    <w:rsid w:val="002B1AA8"/>
    <w:rsid w:val="002B2BAE"/>
    <w:rsid w:val="002B2E98"/>
    <w:rsid w:val="002B5911"/>
    <w:rsid w:val="002C1680"/>
    <w:rsid w:val="002C2E97"/>
    <w:rsid w:val="002C52F3"/>
    <w:rsid w:val="002C5352"/>
    <w:rsid w:val="002D3593"/>
    <w:rsid w:val="002D7C4E"/>
    <w:rsid w:val="002E42BD"/>
    <w:rsid w:val="002E5A3C"/>
    <w:rsid w:val="002E6AA7"/>
    <w:rsid w:val="002E7249"/>
    <w:rsid w:val="002F1982"/>
    <w:rsid w:val="002F30AE"/>
    <w:rsid w:val="002F64C3"/>
    <w:rsid w:val="003019CD"/>
    <w:rsid w:val="00301C56"/>
    <w:rsid w:val="003045DC"/>
    <w:rsid w:val="00305422"/>
    <w:rsid w:val="003070F1"/>
    <w:rsid w:val="003121DF"/>
    <w:rsid w:val="00320BE4"/>
    <w:rsid w:val="00321C4D"/>
    <w:rsid w:val="003224F8"/>
    <w:rsid w:val="003233E2"/>
    <w:rsid w:val="0032563C"/>
    <w:rsid w:val="00327E50"/>
    <w:rsid w:val="00330869"/>
    <w:rsid w:val="00334E8E"/>
    <w:rsid w:val="003370F2"/>
    <w:rsid w:val="003452D9"/>
    <w:rsid w:val="00350C98"/>
    <w:rsid w:val="003548DE"/>
    <w:rsid w:val="00360D31"/>
    <w:rsid w:val="00364EAA"/>
    <w:rsid w:val="00370D2E"/>
    <w:rsid w:val="00371690"/>
    <w:rsid w:val="003752C8"/>
    <w:rsid w:val="00382030"/>
    <w:rsid w:val="0038257B"/>
    <w:rsid w:val="003848B5"/>
    <w:rsid w:val="0039088F"/>
    <w:rsid w:val="00391F8D"/>
    <w:rsid w:val="00393EAB"/>
    <w:rsid w:val="003953A0"/>
    <w:rsid w:val="003955EA"/>
    <w:rsid w:val="00395D1A"/>
    <w:rsid w:val="003A0867"/>
    <w:rsid w:val="003A3982"/>
    <w:rsid w:val="003A5137"/>
    <w:rsid w:val="003A51E4"/>
    <w:rsid w:val="003A5AA3"/>
    <w:rsid w:val="003A6BE9"/>
    <w:rsid w:val="003A6FF6"/>
    <w:rsid w:val="003B2497"/>
    <w:rsid w:val="003B3EDC"/>
    <w:rsid w:val="003B45F4"/>
    <w:rsid w:val="003B6B46"/>
    <w:rsid w:val="003C19EE"/>
    <w:rsid w:val="003C5749"/>
    <w:rsid w:val="003C58E5"/>
    <w:rsid w:val="003C7CAE"/>
    <w:rsid w:val="003D0136"/>
    <w:rsid w:val="003D79F1"/>
    <w:rsid w:val="003E4ABE"/>
    <w:rsid w:val="003E79AD"/>
    <w:rsid w:val="003F7B86"/>
    <w:rsid w:val="00405C62"/>
    <w:rsid w:val="00411D26"/>
    <w:rsid w:val="00412B66"/>
    <w:rsid w:val="00420D4C"/>
    <w:rsid w:val="00423C6D"/>
    <w:rsid w:val="00423F56"/>
    <w:rsid w:val="00431FEC"/>
    <w:rsid w:val="00434624"/>
    <w:rsid w:val="004400D0"/>
    <w:rsid w:val="00442B25"/>
    <w:rsid w:val="00443541"/>
    <w:rsid w:val="00447BFF"/>
    <w:rsid w:val="0045001E"/>
    <w:rsid w:val="00453F53"/>
    <w:rsid w:val="00462A7E"/>
    <w:rsid w:val="00462C8A"/>
    <w:rsid w:val="004665ED"/>
    <w:rsid w:val="00466945"/>
    <w:rsid w:val="004673F0"/>
    <w:rsid w:val="00473031"/>
    <w:rsid w:val="004741C4"/>
    <w:rsid w:val="004833F8"/>
    <w:rsid w:val="004841DB"/>
    <w:rsid w:val="00484E6B"/>
    <w:rsid w:val="004850BC"/>
    <w:rsid w:val="0048520F"/>
    <w:rsid w:val="00486FAE"/>
    <w:rsid w:val="0048760E"/>
    <w:rsid w:val="0048768A"/>
    <w:rsid w:val="00487939"/>
    <w:rsid w:val="004909A9"/>
    <w:rsid w:val="00490FC3"/>
    <w:rsid w:val="0049187C"/>
    <w:rsid w:val="00495DD1"/>
    <w:rsid w:val="0049675D"/>
    <w:rsid w:val="00496D8A"/>
    <w:rsid w:val="004A6DC8"/>
    <w:rsid w:val="004A7A13"/>
    <w:rsid w:val="004B0D73"/>
    <w:rsid w:val="004B6B8F"/>
    <w:rsid w:val="004C0647"/>
    <w:rsid w:val="004C4DFD"/>
    <w:rsid w:val="004C6A46"/>
    <w:rsid w:val="004D312D"/>
    <w:rsid w:val="004D3D73"/>
    <w:rsid w:val="004D49E8"/>
    <w:rsid w:val="004D5B4F"/>
    <w:rsid w:val="004E2665"/>
    <w:rsid w:val="004E3669"/>
    <w:rsid w:val="004E3B50"/>
    <w:rsid w:val="004F1FDE"/>
    <w:rsid w:val="004F332D"/>
    <w:rsid w:val="0050548D"/>
    <w:rsid w:val="0050607E"/>
    <w:rsid w:val="005069C5"/>
    <w:rsid w:val="00510A3C"/>
    <w:rsid w:val="0051160E"/>
    <w:rsid w:val="005120D8"/>
    <w:rsid w:val="00512309"/>
    <w:rsid w:val="00514F97"/>
    <w:rsid w:val="00516867"/>
    <w:rsid w:val="00516CD7"/>
    <w:rsid w:val="00517663"/>
    <w:rsid w:val="00521E68"/>
    <w:rsid w:val="005273CF"/>
    <w:rsid w:val="00530697"/>
    <w:rsid w:val="00530D98"/>
    <w:rsid w:val="00532AA0"/>
    <w:rsid w:val="00532AFC"/>
    <w:rsid w:val="00533B6E"/>
    <w:rsid w:val="00535C3E"/>
    <w:rsid w:val="00536CB0"/>
    <w:rsid w:val="005408A6"/>
    <w:rsid w:val="005412E6"/>
    <w:rsid w:val="00541886"/>
    <w:rsid w:val="005460C1"/>
    <w:rsid w:val="0054695A"/>
    <w:rsid w:val="00546A0A"/>
    <w:rsid w:val="00552487"/>
    <w:rsid w:val="005539A0"/>
    <w:rsid w:val="0055574E"/>
    <w:rsid w:val="00560C4E"/>
    <w:rsid w:val="0056160E"/>
    <w:rsid w:val="00564E45"/>
    <w:rsid w:val="00564EFE"/>
    <w:rsid w:val="005662E4"/>
    <w:rsid w:val="00571E5F"/>
    <w:rsid w:val="00574846"/>
    <w:rsid w:val="00576178"/>
    <w:rsid w:val="00577A2D"/>
    <w:rsid w:val="00580227"/>
    <w:rsid w:val="00582FC1"/>
    <w:rsid w:val="005836B2"/>
    <w:rsid w:val="005876E8"/>
    <w:rsid w:val="00593490"/>
    <w:rsid w:val="005967D2"/>
    <w:rsid w:val="00597BA8"/>
    <w:rsid w:val="00597C8B"/>
    <w:rsid w:val="005A00FF"/>
    <w:rsid w:val="005A01DF"/>
    <w:rsid w:val="005A17B1"/>
    <w:rsid w:val="005A3582"/>
    <w:rsid w:val="005A48F2"/>
    <w:rsid w:val="005A617F"/>
    <w:rsid w:val="005B287C"/>
    <w:rsid w:val="005B2EF8"/>
    <w:rsid w:val="005B3EA0"/>
    <w:rsid w:val="005B7595"/>
    <w:rsid w:val="005C07C0"/>
    <w:rsid w:val="005C088A"/>
    <w:rsid w:val="005C0A00"/>
    <w:rsid w:val="005C7995"/>
    <w:rsid w:val="005D3EAB"/>
    <w:rsid w:val="005D7880"/>
    <w:rsid w:val="005F078E"/>
    <w:rsid w:val="005F1426"/>
    <w:rsid w:val="005F158E"/>
    <w:rsid w:val="005F4C9C"/>
    <w:rsid w:val="005F54B2"/>
    <w:rsid w:val="005F71FF"/>
    <w:rsid w:val="00600C49"/>
    <w:rsid w:val="00601446"/>
    <w:rsid w:val="006060F6"/>
    <w:rsid w:val="00613333"/>
    <w:rsid w:val="00622874"/>
    <w:rsid w:val="00623314"/>
    <w:rsid w:val="00630B04"/>
    <w:rsid w:val="006355BD"/>
    <w:rsid w:val="00636B57"/>
    <w:rsid w:val="0064154D"/>
    <w:rsid w:val="006422B6"/>
    <w:rsid w:val="00645858"/>
    <w:rsid w:val="00647C6E"/>
    <w:rsid w:val="00647DEE"/>
    <w:rsid w:val="00651AFE"/>
    <w:rsid w:val="00655C18"/>
    <w:rsid w:val="00657B3F"/>
    <w:rsid w:val="00662FB8"/>
    <w:rsid w:val="00663C26"/>
    <w:rsid w:val="00664619"/>
    <w:rsid w:val="00665852"/>
    <w:rsid w:val="00666378"/>
    <w:rsid w:val="00671786"/>
    <w:rsid w:val="006836BC"/>
    <w:rsid w:val="00684F4E"/>
    <w:rsid w:val="00685806"/>
    <w:rsid w:val="006911F9"/>
    <w:rsid w:val="00692484"/>
    <w:rsid w:val="00692645"/>
    <w:rsid w:val="00693E25"/>
    <w:rsid w:val="006A030F"/>
    <w:rsid w:val="006A091C"/>
    <w:rsid w:val="006A1297"/>
    <w:rsid w:val="006A2422"/>
    <w:rsid w:val="006A2A15"/>
    <w:rsid w:val="006A2FCD"/>
    <w:rsid w:val="006A52BC"/>
    <w:rsid w:val="006B1D09"/>
    <w:rsid w:val="006B55DB"/>
    <w:rsid w:val="006B6E2F"/>
    <w:rsid w:val="006C12FE"/>
    <w:rsid w:val="006C2216"/>
    <w:rsid w:val="006C277D"/>
    <w:rsid w:val="006C753B"/>
    <w:rsid w:val="006D1899"/>
    <w:rsid w:val="006D3A3F"/>
    <w:rsid w:val="006E31B2"/>
    <w:rsid w:val="006E6810"/>
    <w:rsid w:val="006E7AC0"/>
    <w:rsid w:val="006F03D5"/>
    <w:rsid w:val="006F4972"/>
    <w:rsid w:val="006F4D63"/>
    <w:rsid w:val="006F6791"/>
    <w:rsid w:val="006F6F88"/>
    <w:rsid w:val="00700E67"/>
    <w:rsid w:val="00701BA6"/>
    <w:rsid w:val="007023B2"/>
    <w:rsid w:val="00702497"/>
    <w:rsid w:val="007049C9"/>
    <w:rsid w:val="00707789"/>
    <w:rsid w:val="00707B7D"/>
    <w:rsid w:val="007136C1"/>
    <w:rsid w:val="00715390"/>
    <w:rsid w:val="00717220"/>
    <w:rsid w:val="007203D3"/>
    <w:rsid w:val="007242E3"/>
    <w:rsid w:val="007247B3"/>
    <w:rsid w:val="00726850"/>
    <w:rsid w:val="007322CA"/>
    <w:rsid w:val="0073233E"/>
    <w:rsid w:val="00732A2D"/>
    <w:rsid w:val="00733B7C"/>
    <w:rsid w:val="00733E2B"/>
    <w:rsid w:val="007352E3"/>
    <w:rsid w:val="00735796"/>
    <w:rsid w:val="00736446"/>
    <w:rsid w:val="00740AA1"/>
    <w:rsid w:val="00742054"/>
    <w:rsid w:val="00756A57"/>
    <w:rsid w:val="0076097E"/>
    <w:rsid w:val="00766480"/>
    <w:rsid w:val="00771A94"/>
    <w:rsid w:val="00772ACE"/>
    <w:rsid w:val="007739D6"/>
    <w:rsid w:val="007756C4"/>
    <w:rsid w:val="00775C37"/>
    <w:rsid w:val="00776B99"/>
    <w:rsid w:val="00782C40"/>
    <w:rsid w:val="007839C2"/>
    <w:rsid w:val="00786B1C"/>
    <w:rsid w:val="00790627"/>
    <w:rsid w:val="00791A1E"/>
    <w:rsid w:val="007A65D0"/>
    <w:rsid w:val="007B0A05"/>
    <w:rsid w:val="007B3F3E"/>
    <w:rsid w:val="007B42C7"/>
    <w:rsid w:val="007B4776"/>
    <w:rsid w:val="007C08E9"/>
    <w:rsid w:val="007C0A20"/>
    <w:rsid w:val="007C22F8"/>
    <w:rsid w:val="007C23C6"/>
    <w:rsid w:val="007C717F"/>
    <w:rsid w:val="007C7E62"/>
    <w:rsid w:val="007D07B5"/>
    <w:rsid w:val="007D0A57"/>
    <w:rsid w:val="007D2B59"/>
    <w:rsid w:val="007D3368"/>
    <w:rsid w:val="007D4019"/>
    <w:rsid w:val="007D5157"/>
    <w:rsid w:val="007D5529"/>
    <w:rsid w:val="007D6471"/>
    <w:rsid w:val="007E1AD1"/>
    <w:rsid w:val="007E21A6"/>
    <w:rsid w:val="007E2EF7"/>
    <w:rsid w:val="007E4CA5"/>
    <w:rsid w:val="007F1EAA"/>
    <w:rsid w:val="007F4FF8"/>
    <w:rsid w:val="007F7E8F"/>
    <w:rsid w:val="00805738"/>
    <w:rsid w:val="00805B38"/>
    <w:rsid w:val="00806057"/>
    <w:rsid w:val="00806C88"/>
    <w:rsid w:val="0081336E"/>
    <w:rsid w:val="0081586A"/>
    <w:rsid w:val="0082172D"/>
    <w:rsid w:val="00825276"/>
    <w:rsid w:val="0082607A"/>
    <w:rsid w:val="008328CD"/>
    <w:rsid w:val="0083316D"/>
    <w:rsid w:val="0084010F"/>
    <w:rsid w:val="00840DC5"/>
    <w:rsid w:val="0084157D"/>
    <w:rsid w:val="00845BDA"/>
    <w:rsid w:val="008475C7"/>
    <w:rsid w:val="00847BC8"/>
    <w:rsid w:val="00847F62"/>
    <w:rsid w:val="008537AE"/>
    <w:rsid w:val="0086122D"/>
    <w:rsid w:val="00862735"/>
    <w:rsid w:val="008659F8"/>
    <w:rsid w:val="00865E71"/>
    <w:rsid w:val="0086706D"/>
    <w:rsid w:val="00867FFD"/>
    <w:rsid w:val="0087134C"/>
    <w:rsid w:val="00875142"/>
    <w:rsid w:val="00876691"/>
    <w:rsid w:val="0088077D"/>
    <w:rsid w:val="00882C20"/>
    <w:rsid w:val="00886D23"/>
    <w:rsid w:val="00891107"/>
    <w:rsid w:val="00892383"/>
    <w:rsid w:val="00893A89"/>
    <w:rsid w:val="00895DAB"/>
    <w:rsid w:val="008A2BB9"/>
    <w:rsid w:val="008A613F"/>
    <w:rsid w:val="008A634F"/>
    <w:rsid w:val="008B3BEE"/>
    <w:rsid w:val="008B42D6"/>
    <w:rsid w:val="008B495C"/>
    <w:rsid w:val="008B4B29"/>
    <w:rsid w:val="008B51C1"/>
    <w:rsid w:val="008B66F8"/>
    <w:rsid w:val="008C22AE"/>
    <w:rsid w:val="008C2302"/>
    <w:rsid w:val="008C6B29"/>
    <w:rsid w:val="008D1883"/>
    <w:rsid w:val="008E05D3"/>
    <w:rsid w:val="008E212E"/>
    <w:rsid w:val="008E2A0E"/>
    <w:rsid w:val="008E2E3C"/>
    <w:rsid w:val="008E3090"/>
    <w:rsid w:val="008E3CBD"/>
    <w:rsid w:val="008F26B0"/>
    <w:rsid w:val="008F5C5C"/>
    <w:rsid w:val="00907EF7"/>
    <w:rsid w:val="00913DDA"/>
    <w:rsid w:val="00916366"/>
    <w:rsid w:val="0092008C"/>
    <w:rsid w:val="00924B38"/>
    <w:rsid w:val="00925EFE"/>
    <w:rsid w:val="0092623B"/>
    <w:rsid w:val="00926292"/>
    <w:rsid w:val="0092786E"/>
    <w:rsid w:val="009312E9"/>
    <w:rsid w:val="009315F7"/>
    <w:rsid w:val="00936243"/>
    <w:rsid w:val="00936884"/>
    <w:rsid w:val="00943732"/>
    <w:rsid w:val="009458BE"/>
    <w:rsid w:val="0094594F"/>
    <w:rsid w:val="00953264"/>
    <w:rsid w:val="009564C9"/>
    <w:rsid w:val="00960DCD"/>
    <w:rsid w:val="00961EB0"/>
    <w:rsid w:val="009712C4"/>
    <w:rsid w:val="00975D66"/>
    <w:rsid w:val="00976D11"/>
    <w:rsid w:val="0098078F"/>
    <w:rsid w:val="00983DF9"/>
    <w:rsid w:val="00985C9F"/>
    <w:rsid w:val="00986CF3"/>
    <w:rsid w:val="00990805"/>
    <w:rsid w:val="00990FEB"/>
    <w:rsid w:val="009B4784"/>
    <w:rsid w:val="009B580B"/>
    <w:rsid w:val="009B58B0"/>
    <w:rsid w:val="009B61CA"/>
    <w:rsid w:val="009B6935"/>
    <w:rsid w:val="009C5661"/>
    <w:rsid w:val="009D0D37"/>
    <w:rsid w:val="009D2933"/>
    <w:rsid w:val="009D44B8"/>
    <w:rsid w:val="009D4CB5"/>
    <w:rsid w:val="009D54FB"/>
    <w:rsid w:val="009E04EC"/>
    <w:rsid w:val="009E07ED"/>
    <w:rsid w:val="009E12C8"/>
    <w:rsid w:val="009E1E99"/>
    <w:rsid w:val="009E5A68"/>
    <w:rsid w:val="009F0286"/>
    <w:rsid w:val="009F1184"/>
    <w:rsid w:val="009F7D62"/>
    <w:rsid w:val="00A01BEC"/>
    <w:rsid w:val="00A02821"/>
    <w:rsid w:val="00A05CBC"/>
    <w:rsid w:val="00A1016A"/>
    <w:rsid w:val="00A1050F"/>
    <w:rsid w:val="00A14779"/>
    <w:rsid w:val="00A275EC"/>
    <w:rsid w:val="00A3020E"/>
    <w:rsid w:val="00A3245C"/>
    <w:rsid w:val="00A32626"/>
    <w:rsid w:val="00A338A9"/>
    <w:rsid w:val="00A34FEA"/>
    <w:rsid w:val="00A40483"/>
    <w:rsid w:val="00A421DF"/>
    <w:rsid w:val="00A432EE"/>
    <w:rsid w:val="00A51DC8"/>
    <w:rsid w:val="00A537A1"/>
    <w:rsid w:val="00A577D4"/>
    <w:rsid w:val="00A57C4D"/>
    <w:rsid w:val="00A6301F"/>
    <w:rsid w:val="00A6369C"/>
    <w:rsid w:val="00A66F35"/>
    <w:rsid w:val="00A675F9"/>
    <w:rsid w:val="00A74E8E"/>
    <w:rsid w:val="00A75B96"/>
    <w:rsid w:val="00A77339"/>
    <w:rsid w:val="00A83501"/>
    <w:rsid w:val="00A83CD7"/>
    <w:rsid w:val="00A93175"/>
    <w:rsid w:val="00A951F1"/>
    <w:rsid w:val="00A952D2"/>
    <w:rsid w:val="00A96548"/>
    <w:rsid w:val="00AA011C"/>
    <w:rsid w:val="00AA23F0"/>
    <w:rsid w:val="00AA3CEC"/>
    <w:rsid w:val="00AA553B"/>
    <w:rsid w:val="00AA78F8"/>
    <w:rsid w:val="00AA7C31"/>
    <w:rsid w:val="00AB1812"/>
    <w:rsid w:val="00AB3675"/>
    <w:rsid w:val="00AC41B1"/>
    <w:rsid w:val="00AE377A"/>
    <w:rsid w:val="00AE69FF"/>
    <w:rsid w:val="00AF0125"/>
    <w:rsid w:val="00AF1302"/>
    <w:rsid w:val="00AF1900"/>
    <w:rsid w:val="00AF276F"/>
    <w:rsid w:val="00AF6322"/>
    <w:rsid w:val="00B0566C"/>
    <w:rsid w:val="00B109D8"/>
    <w:rsid w:val="00B11000"/>
    <w:rsid w:val="00B17464"/>
    <w:rsid w:val="00B2171A"/>
    <w:rsid w:val="00B21C08"/>
    <w:rsid w:val="00B21EC1"/>
    <w:rsid w:val="00B2246C"/>
    <w:rsid w:val="00B25476"/>
    <w:rsid w:val="00B25575"/>
    <w:rsid w:val="00B25FAD"/>
    <w:rsid w:val="00B26F86"/>
    <w:rsid w:val="00B27160"/>
    <w:rsid w:val="00B31EDC"/>
    <w:rsid w:val="00B32730"/>
    <w:rsid w:val="00B34922"/>
    <w:rsid w:val="00B37B1A"/>
    <w:rsid w:val="00B40B99"/>
    <w:rsid w:val="00B44968"/>
    <w:rsid w:val="00B46567"/>
    <w:rsid w:val="00B4680E"/>
    <w:rsid w:val="00B502D7"/>
    <w:rsid w:val="00B50B7D"/>
    <w:rsid w:val="00B52690"/>
    <w:rsid w:val="00B54793"/>
    <w:rsid w:val="00B54C24"/>
    <w:rsid w:val="00B5631B"/>
    <w:rsid w:val="00B56C2D"/>
    <w:rsid w:val="00B5706C"/>
    <w:rsid w:val="00B602B6"/>
    <w:rsid w:val="00B62828"/>
    <w:rsid w:val="00B63A62"/>
    <w:rsid w:val="00B737BC"/>
    <w:rsid w:val="00B73894"/>
    <w:rsid w:val="00B746A6"/>
    <w:rsid w:val="00B76029"/>
    <w:rsid w:val="00B773A5"/>
    <w:rsid w:val="00B81B0F"/>
    <w:rsid w:val="00B823DF"/>
    <w:rsid w:val="00B82451"/>
    <w:rsid w:val="00B90B3D"/>
    <w:rsid w:val="00B971A3"/>
    <w:rsid w:val="00BA160E"/>
    <w:rsid w:val="00BA437E"/>
    <w:rsid w:val="00BA5AED"/>
    <w:rsid w:val="00BA789F"/>
    <w:rsid w:val="00BB2F40"/>
    <w:rsid w:val="00BB601D"/>
    <w:rsid w:val="00BB749A"/>
    <w:rsid w:val="00BC437C"/>
    <w:rsid w:val="00BD3556"/>
    <w:rsid w:val="00BD50CE"/>
    <w:rsid w:val="00BD6E4E"/>
    <w:rsid w:val="00BD72CC"/>
    <w:rsid w:val="00BE0E2A"/>
    <w:rsid w:val="00BE0E5F"/>
    <w:rsid w:val="00BE1F9B"/>
    <w:rsid w:val="00BE30CF"/>
    <w:rsid w:val="00BE3899"/>
    <w:rsid w:val="00BF4D4F"/>
    <w:rsid w:val="00C0093E"/>
    <w:rsid w:val="00C01137"/>
    <w:rsid w:val="00C0360F"/>
    <w:rsid w:val="00C06B82"/>
    <w:rsid w:val="00C07C28"/>
    <w:rsid w:val="00C104BE"/>
    <w:rsid w:val="00C109D7"/>
    <w:rsid w:val="00C1327B"/>
    <w:rsid w:val="00C1521B"/>
    <w:rsid w:val="00C15829"/>
    <w:rsid w:val="00C165BB"/>
    <w:rsid w:val="00C21F76"/>
    <w:rsid w:val="00C235FA"/>
    <w:rsid w:val="00C23850"/>
    <w:rsid w:val="00C23FDE"/>
    <w:rsid w:val="00C25734"/>
    <w:rsid w:val="00C26FF6"/>
    <w:rsid w:val="00C27F15"/>
    <w:rsid w:val="00C32995"/>
    <w:rsid w:val="00C32E68"/>
    <w:rsid w:val="00C3359A"/>
    <w:rsid w:val="00C35048"/>
    <w:rsid w:val="00C353F7"/>
    <w:rsid w:val="00C40BB5"/>
    <w:rsid w:val="00C40C45"/>
    <w:rsid w:val="00C47478"/>
    <w:rsid w:val="00C60ECA"/>
    <w:rsid w:val="00C63D41"/>
    <w:rsid w:val="00C6430A"/>
    <w:rsid w:val="00C6553A"/>
    <w:rsid w:val="00C666E6"/>
    <w:rsid w:val="00C67460"/>
    <w:rsid w:val="00C707F5"/>
    <w:rsid w:val="00C76532"/>
    <w:rsid w:val="00C765EA"/>
    <w:rsid w:val="00C803F3"/>
    <w:rsid w:val="00C8609F"/>
    <w:rsid w:val="00C904AC"/>
    <w:rsid w:val="00C93781"/>
    <w:rsid w:val="00CA41F0"/>
    <w:rsid w:val="00CB4AFB"/>
    <w:rsid w:val="00CC1DC7"/>
    <w:rsid w:val="00CC57A4"/>
    <w:rsid w:val="00CC6872"/>
    <w:rsid w:val="00CD1F1A"/>
    <w:rsid w:val="00CE0FE7"/>
    <w:rsid w:val="00CE2C4E"/>
    <w:rsid w:val="00CE4B2D"/>
    <w:rsid w:val="00CE65D6"/>
    <w:rsid w:val="00CF209A"/>
    <w:rsid w:val="00CF28C9"/>
    <w:rsid w:val="00CF56FC"/>
    <w:rsid w:val="00CF61A6"/>
    <w:rsid w:val="00CF7D42"/>
    <w:rsid w:val="00D00748"/>
    <w:rsid w:val="00D01774"/>
    <w:rsid w:val="00D060BD"/>
    <w:rsid w:val="00D15F50"/>
    <w:rsid w:val="00D20B7A"/>
    <w:rsid w:val="00D2377D"/>
    <w:rsid w:val="00D27682"/>
    <w:rsid w:val="00D27E9E"/>
    <w:rsid w:val="00D31ABF"/>
    <w:rsid w:val="00D32054"/>
    <w:rsid w:val="00D33093"/>
    <w:rsid w:val="00D334BA"/>
    <w:rsid w:val="00D351B1"/>
    <w:rsid w:val="00D37649"/>
    <w:rsid w:val="00D3765E"/>
    <w:rsid w:val="00D40334"/>
    <w:rsid w:val="00D40419"/>
    <w:rsid w:val="00D42B5C"/>
    <w:rsid w:val="00D442B0"/>
    <w:rsid w:val="00D454D4"/>
    <w:rsid w:val="00D52AC0"/>
    <w:rsid w:val="00D557AC"/>
    <w:rsid w:val="00D60B94"/>
    <w:rsid w:val="00D660E5"/>
    <w:rsid w:val="00D661F0"/>
    <w:rsid w:val="00D7166E"/>
    <w:rsid w:val="00D719A0"/>
    <w:rsid w:val="00D71A04"/>
    <w:rsid w:val="00D76030"/>
    <w:rsid w:val="00D80B86"/>
    <w:rsid w:val="00D82D85"/>
    <w:rsid w:val="00D82DBC"/>
    <w:rsid w:val="00D92210"/>
    <w:rsid w:val="00D93537"/>
    <w:rsid w:val="00D935A9"/>
    <w:rsid w:val="00D95295"/>
    <w:rsid w:val="00DA1EA8"/>
    <w:rsid w:val="00DA4159"/>
    <w:rsid w:val="00DA4F49"/>
    <w:rsid w:val="00DB2464"/>
    <w:rsid w:val="00DB3B27"/>
    <w:rsid w:val="00DB6EE0"/>
    <w:rsid w:val="00DC1D0E"/>
    <w:rsid w:val="00DC51EA"/>
    <w:rsid w:val="00DD4FD6"/>
    <w:rsid w:val="00DD721E"/>
    <w:rsid w:val="00DE1891"/>
    <w:rsid w:val="00DE1EFF"/>
    <w:rsid w:val="00DE29B8"/>
    <w:rsid w:val="00DF0E14"/>
    <w:rsid w:val="00DF251D"/>
    <w:rsid w:val="00DF5800"/>
    <w:rsid w:val="00DF5803"/>
    <w:rsid w:val="00DF7BD9"/>
    <w:rsid w:val="00E01D9A"/>
    <w:rsid w:val="00E04045"/>
    <w:rsid w:val="00E115A4"/>
    <w:rsid w:val="00E115F2"/>
    <w:rsid w:val="00E13486"/>
    <w:rsid w:val="00E16126"/>
    <w:rsid w:val="00E172E9"/>
    <w:rsid w:val="00E174A9"/>
    <w:rsid w:val="00E20963"/>
    <w:rsid w:val="00E2311C"/>
    <w:rsid w:val="00E25FB3"/>
    <w:rsid w:val="00E3385B"/>
    <w:rsid w:val="00E36979"/>
    <w:rsid w:val="00E403E9"/>
    <w:rsid w:val="00E44385"/>
    <w:rsid w:val="00E45790"/>
    <w:rsid w:val="00E5149A"/>
    <w:rsid w:val="00E5520C"/>
    <w:rsid w:val="00E5588D"/>
    <w:rsid w:val="00E6284A"/>
    <w:rsid w:val="00E62F3D"/>
    <w:rsid w:val="00E65B73"/>
    <w:rsid w:val="00E66459"/>
    <w:rsid w:val="00E676F2"/>
    <w:rsid w:val="00E72153"/>
    <w:rsid w:val="00E766B2"/>
    <w:rsid w:val="00E8225C"/>
    <w:rsid w:val="00E82576"/>
    <w:rsid w:val="00E82D2C"/>
    <w:rsid w:val="00E92DBE"/>
    <w:rsid w:val="00E92DC3"/>
    <w:rsid w:val="00E92E8E"/>
    <w:rsid w:val="00E95AD0"/>
    <w:rsid w:val="00E97DBA"/>
    <w:rsid w:val="00EA1C8D"/>
    <w:rsid w:val="00EA232A"/>
    <w:rsid w:val="00EA29D4"/>
    <w:rsid w:val="00EA7061"/>
    <w:rsid w:val="00EA7F36"/>
    <w:rsid w:val="00EB7699"/>
    <w:rsid w:val="00EB7AEB"/>
    <w:rsid w:val="00EC073F"/>
    <w:rsid w:val="00EC24AB"/>
    <w:rsid w:val="00ED02D2"/>
    <w:rsid w:val="00ED1EF2"/>
    <w:rsid w:val="00ED2091"/>
    <w:rsid w:val="00ED5FBE"/>
    <w:rsid w:val="00ED6939"/>
    <w:rsid w:val="00EE1EC1"/>
    <w:rsid w:val="00EE374A"/>
    <w:rsid w:val="00EE4AD0"/>
    <w:rsid w:val="00EF2357"/>
    <w:rsid w:val="00F01DB9"/>
    <w:rsid w:val="00F05ACA"/>
    <w:rsid w:val="00F071C1"/>
    <w:rsid w:val="00F109F3"/>
    <w:rsid w:val="00F10BAA"/>
    <w:rsid w:val="00F1191B"/>
    <w:rsid w:val="00F123C1"/>
    <w:rsid w:val="00F13027"/>
    <w:rsid w:val="00F131A1"/>
    <w:rsid w:val="00F142E8"/>
    <w:rsid w:val="00F16035"/>
    <w:rsid w:val="00F17766"/>
    <w:rsid w:val="00F2208B"/>
    <w:rsid w:val="00F23285"/>
    <w:rsid w:val="00F260EF"/>
    <w:rsid w:val="00F26515"/>
    <w:rsid w:val="00F268A0"/>
    <w:rsid w:val="00F268AE"/>
    <w:rsid w:val="00F30C0F"/>
    <w:rsid w:val="00F3354B"/>
    <w:rsid w:val="00F34528"/>
    <w:rsid w:val="00F364F6"/>
    <w:rsid w:val="00F42BF4"/>
    <w:rsid w:val="00F450E8"/>
    <w:rsid w:val="00F55CFF"/>
    <w:rsid w:val="00F56608"/>
    <w:rsid w:val="00F60CD8"/>
    <w:rsid w:val="00F61A70"/>
    <w:rsid w:val="00F66528"/>
    <w:rsid w:val="00F6742B"/>
    <w:rsid w:val="00F71863"/>
    <w:rsid w:val="00F7651F"/>
    <w:rsid w:val="00F81D23"/>
    <w:rsid w:val="00F82C27"/>
    <w:rsid w:val="00F8519C"/>
    <w:rsid w:val="00F862FB"/>
    <w:rsid w:val="00F91D17"/>
    <w:rsid w:val="00F9554B"/>
    <w:rsid w:val="00F972CD"/>
    <w:rsid w:val="00FA270B"/>
    <w:rsid w:val="00FA290E"/>
    <w:rsid w:val="00FA6442"/>
    <w:rsid w:val="00FA709A"/>
    <w:rsid w:val="00FB1623"/>
    <w:rsid w:val="00FB4735"/>
    <w:rsid w:val="00FB521F"/>
    <w:rsid w:val="00FC6D64"/>
    <w:rsid w:val="00FC7B9B"/>
    <w:rsid w:val="00FD0440"/>
    <w:rsid w:val="00FD0AF6"/>
    <w:rsid w:val="00FD1306"/>
    <w:rsid w:val="00FD1627"/>
    <w:rsid w:val="00FD46C3"/>
    <w:rsid w:val="00FD58CD"/>
    <w:rsid w:val="00FE54F2"/>
    <w:rsid w:val="00FF1243"/>
    <w:rsid w:val="00FF193D"/>
    <w:rsid w:val="00FF1D6A"/>
    <w:rsid w:val="00FF224B"/>
    <w:rsid w:val="00FF22F5"/>
    <w:rsid w:val="00FF31B7"/>
    <w:rsid w:val="00FF3294"/>
    <w:rsid w:val="010351AA"/>
    <w:rsid w:val="01115B19"/>
    <w:rsid w:val="01204F3D"/>
    <w:rsid w:val="01211AD4"/>
    <w:rsid w:val="01277FD4"/>
    <w:rsid w:val="01747E56"/>
    <w:rsid w:val="018F2EE2"/>
    <w:rsid w:val="01901F77"/>
    <w:rsid w:val="019B3634"/>
    <w:rsid w:val="01A050EF"/>
    <w:rsid w:val="01AA3877"/>
    <w:rsid w:val="01AC5842"/>
    <w:rsid w:val="01AC75F0"/>
    <w:rsid w:val="01B6221C"/>
    <w:rsid w:val="01B841E6"/>
    <w:rsid w:val="01E054EB"/>
    <w:rsid w:val="01E52B01"/>
    <w:rsid w:val="01EC3E90"/>
    <w:rsid w:val="01F114A6"/>
    <w:rsid w:val="0200793B"/>
    <w:rsid w:val="020531A4"/>
    <w:rsid w:val="02092C94"/>
    <w:rsid w:val="02104022"/>
    <w:rsid w:val="02151639"/>
    <w:rsid w:val="021616D3"/>
    <w:rsid w:val="021A27AB"/>
    <w:rsid w:val="022655F4"/>
    <w:rsid w:val="022B2C0A"/>
    <w:rsid w:val="022E6257"/>
    <w:rsid w:val="02301FCF"/>
    <w:rsid w:val="023A4BFB"/>
    <w:rsid w:val="024A0BB7"/>
    <w:rsid w:val="024C2B81"/>
    <w:rsid w:val="0259390D"/>
    <w:rsid w:val="02641C78"/>
    <w:rsid w:val="026B3007"/>
    <w:rsid w:val="026C6D7F"/>
    <w:rsid w:val="0271385E"/>
    <w:rsid w:val="027E7BBC"/>
    <w:rsid w:val="02816CCE"/>
    <w:rsid w:val="02881E0B"/>
    <w:rsid w:val="029307AF"/>
    <w:rsid w:val="029562D6"/>
    <w:rsid w:val="02987B74"/>
    <w:rsid w:val="02A429BD"/>
    <w:rsid w:val="02B0310F"/>
    <w:rsid w:val="02BA2C8B"/>
    <w:rsid w:val="02BA5D3C"/>
    <w:rsid w:val="02CB1CF7"/>
    <w:rsid w:val="02CD07E4"/>
    <w:rsid w:val="02E62FD5"/>
    <w:rsid w:val="02EB774C"/>
    <w:rsid w:val="03084CFA"/>
    <w:rsid w:val="03086AA8"/>
    <w:rsid w:val="03092820"/>
    <w:rsid w:val="0309343E"/>
    <w:rsid w:val="030A0A72"/>
    <w:rsid w:val="031418F0"/>
    <w:rsid w:val="03200295"/>
    <w:rsid w:val="032064E7"/>
    <w:rsid w:val="03215DBB"/>
    <w:rsid w:val="03253AFD"/>
    <w:rsid w:val="03272DE7"/>
    <w:rsid w:val="032C4E8C"/>
    <w:rsid w:val="03304250"/>
    <w:rsid w:val="033457BB"/>
    <w:rsid w:val="033E696D"/>
    <w:rsid w:val="0341020B"/>
    <w:rsid w:val="03427DF3"/>
    <w:rsid w:val="034D095E"/>
    <w:rsid w:val="035241C7"/>
    <w:rsid w:val="03525F75"/>
    <w:rsid w:val="03563CB7"/>
    <w:rsid w:val="035E2B6B"/>
    <w:rsid w:val="036208AE"/>
    <w:rsid w:val="036B5288"/>
    <w:rsid w:val="036D2DAF"/>
    <w:rsid w:val="03724869"/>
    <w:rsid w:val="03830824"/>
    <w:rsid w:val="03906A9D"/>
    <w:rsid w:val="03A2514E"/>
    <w:rsid w:val="03C055D4"/>
    <w:rsid w:val="03D03033"/>
    <w:rsid w:val="03D33559"/>
    <w:rsid w:val="03D42E2E"/>
    <w:rsid w:val="03E05C76"/>
    <w:rsid w:val="03FD1F8B"/>
    <w:rsid w:val="03FF434E"/>
    <w:rsid w:val="04003C23"/>
    <w:rsid w:val="04025BED"/>
    <w:rsid w:val="040C75CD"/>
    <w:rsid w:val="040F20B8"/>
    <w:rsid w:val="041651F4"/>
    <w:rsid w:val="04245B63"/>
    <w:rsid w:val="042C0EBC"/>
    <w:rsid w:val="0438160E"/>
    <w:rsid w:val="04387860"/>
    <w:rsid w:val="043B2EAD"/>
    <w:rsid w:val="043D09D3"/>
    <w:rsid w:val="046C3066"/>
    <w:rsid w:val="046C750A"/>
    <w:rsid w:val="046E798D"/>
    <w:rsid w:val="04846602"/>
    <w:rsid w:val="048C54B6"/>
    <w:rsid w:val="048E7480"/>
    <w:rsid w:val="04956A61"/>
    <w:rsid w:val="04A3117E"/>
    <w:rsid w:val="04A722F0"/>
    <w:rsid w:val="04B35139"/>
    <w:rsid w:val="04B844FD"/>
    <w:rsid w:val="04BA0275"/>
    <w:rsid w:val="04C66C1A"/>
    <w:rsid w:val="04D1736D"/>
    <w:rsid w:val="04D31337"/>
    <w:rsid w:val="04D806FC"/>
    <w:rsid w:val="04DA0918"/>
    <w:rsid w:val="04DF5F2E"/>
    <w:rsid w:val="04EB042F"/>
    <w:rsid w:val="04EE7F1F"/>
    <w:rsid w:val="04F73278"/>
    <w:rsid w:val="04F75026"/>
    <w:rsid w:val="04FF212C"/>
    <w:rsid w:val="050E4D00"/>
    <w:rsid w:val="05107E95"/>
    <w:rsid w:val="05145BD8"/>
    <w:rsid w:val="05190D90"/>
    <w:rsid w:val="05263B5D"/>
    <w:rsid w:val="052B2F21"/>
    <w:rsid w:val="05322502"/>
    <w:rsid w:val="0532605E"/>
    <w:rsid w:val="05340028"/>
    <w:rsid w:val="0539563E"/>
    <w:rsid w:val="054B35C3"/>
    <w:rsid w:val="054F4E62"/>
    <w:rsid w:val="05504736"/>
    <w:rsid w:val="05524952"/>
    <w:rsid w:val="05595CE0"/>
    <w:rsid w:val="056A3A4A"/>
    <w:rsid w:val="056B0CB0"/>
    <w:rsid w:val="057448C8"/>
    <w:rsid w:val="05750799"/>
    <w:rsid w:val="05776166"/>
    <w:rsid w:val="05832D5D"/>
    <w:rsid w:val="05834B0B"/>
    <w:rsid w:val="058663AA"/>
    <w:rsid w:val="05962A91"/>
    <w:rsid w:val="059C5BCD"/>
    <w:rsid w:val="059F0E35"/>
    <w:rsid w:val="05A32368"/>
    <w:rsid w:val="05A54A82"/>
    <w:rsid w:val="05A607FA"/>
    <w:rsid w:val="05AC4062"/>
    <w:rsid w:val="05BE5B43"/>
    <w:rsid w:val="05C375FE"/>
    <w:rsid w:val="05D11801"/>
    <w:rsid w:val="05DB4947"/>
    <w:rsid w:val="05F45A09"/>
    <w:rsid w:val="060317A8"/>
    <w:rsid w:val="06043E9E"/>
    <w:rsid w:val="061A5470"/>
    <w:rsid w:val="062A4F87"/>
    <w:rsid w:val="06450013"/>
    <w:rsid w:val="064C314F"/>
    <w:rsid w:val="065B5A88"/>
    <w:rsid w:val="0661309E"/>
    <w:rsid w:val="06710E08"/>
    <w:rsid w:val="0671705A"/>
    <w:rsid w:val="069114AA"/>
    <w:rsid w:val="06954AF6"/>
    <w:rsid w:val="069D1BFD"/>
    <w:rsid w:val="06A74829"/>
    <w:rsid w:val="06C278B5"/>
    <w:rsid w:val="06C62F02"/>
    <w:rsid w:val="06C74ECC"/>
    <w:rsid w:val="06CB49BC"/>
    <w:rsid w:val="06CB676A"/>
    <w:rsid w:val="06DA4BFF"/>
    <w:rsid w:val="06EB2968"/>
    <w:rsid w:val="07027D3D"/>
    <w:rsid w:val="07035F04"/>
    <w:rsid w:val="07053C58"/>
    <w:rsid w:val="07106873"/>
    <w:rsid w:val="071C5217"/>
    <w:rsid w:val="071F6AB6"/>
    <w:rsid w:val="072639A0"/>
    <w:rsid w:val="073A744C"/>
    <w:rsid w:val="0754675F"/>
    <w:rsid w:val="07666493"/>
    <w:rsid w:val="07707311"/>
    <w:rsid w:val="07BC60B3"/>
    <w:rsid w:val="07BC6B27"/>
    <w:rsid w:val="07C75183"/>
    <w:rsid w:val="07CD6F79"/>
    <w:rsid w:val="07D1358A"/>
    <w:rsid w:val="07D57174"/>
    <w:rsid w:val="07D77390"/>
    <w:rsid w:val="07DB28A2"/>
    <w:rsid w:val="07DC4908"/>
    <w:rsid w:val="07DD49A7"/>
    <w:rsid w:val="07E13D6B"/>
    <w:rsid w:val="07EC6998"/>
    <w:rsid w:val="07F43A9E"/>
    <w:rsid w:val="07FE2B6F"/>
    <w:rsid w:val="08033848"/>
    <w:rsid w:val="080812F8"/>
    <w:rsid w:val="080C0DE8"/>
    <w:rsid w:val="080D2DB2"/>
    <w:rsid w:val="080F6B2A"/>
    <w:rsid w:val="08202AE5"/>
    <w:rsid w:val="08206641"/>
    <w:rsid w:val="082223BA"/>
    <w:rsid w:val="08236132"/>
    <w:rsid w:val="08275C22"/>
    <w:rsid w:val="082F0F7A"/>
    <w:rsid w:val="08564759"/>
    <w:rsid w:val="0858402D"/>
    <w:rsid w:val="086C1887"/>
    <w:rsid w:val="08760957"/>
    <w:rsid w:val="0878022B"/>
    <w:rsid w:val="087E15BA"/>
    <w:rsid w:val="08836BD0"/>
    <w:rsid w:val="088E5CA1"/>
    <w:rsid w:val="08901A19"/>
    <w:rsid w:val="08A454C4"/>
    <w:rsid w:val="08A6123D"/>
    <w:rsid w:val="08A74FB5"/>
    <w:rsid w:val="08AF5C17"/>
    <w:rsid w:val="08AF79C5"/>
    <w:rsid w:val="08BD0334"/>
    <w:rsid w:val="08C16076"/>
    <w:rsid w:val="08CE42EF"/>
    <w:rsid w:val="08E27D9B"/>
    <w:rsid w:val="08EB30F3"/>
    <w:rsid w:val="08EE6740"/>
    <w:rsid w:val="08F04266"/>
    <w:rsid w:val="08F57ACE"/>
    <w:rsid w:val="08FF094D"/>
    <w:rsid w:val="0902043D"/>
    <w:rsid w:val="090715AF"/>
    <w:rsid w:val="091440F3"/>
    <w:rsid w:val="092B7994"/>
    <w:rsid w:val="092E2FE0"/>
    <w:rsid w:val="093E76C7"/>
    <w:rsid w:val="0949606C"/>
    <w:rsid w:val="095A3DD5"/>
    <w:rsid w:val="096D3B08"/>
    <w:rsid w:val="09747D0E"/>
    <w:rsid w:val="09864BCA"/>
    <w:rsid w:val="09945539"/>
    <w:rsid w:val="099A0675"/>
    <w:rsid w:val="099B68C7"/>
    <w:rsid w:val="099E1F14"/>
    <w:rsid w:val="09A11A04"/>
    <w:rsid w:val="09A84B40"/>
    <w:rsid w:val="09BC05EC"/>
    <w:rsid w:val="09BE6112"/>
    <w:rsid w:val="09C0632E"/>
    <w:rsid w:val="09CA0F5B"/>
    <w:rsid w:val="09D973F0"/>
    <w:rsid w:val="09DC2A3C"/>
    <w:rsid w:val="09DE5A76"/>
    <w:rsid w:val="09E85885"/>
    <w:rsid w:val="09EB2C7F"/>
    <w:rsid w:val="09EB4E86"/>
    <w:rsid w:val="09EC7123"/>
    <w:rsid w:val="09ED4C49"/>
    <w:rsid w:val="09F71624"/>
    <w:rsid w:val="0A0C3321"/>
    <w:rsid w:val="0A110938"/>
    <w:rsid w:val="0A1E12A6"/>
    <w:rsid w:val="0A232419"/>
    <w:rsid w:val="0A252635"/>
    <w:rsid w:val="0A344626"/>
    <w:rsid w:val="0A424F95"/>
    <w:rsid w:val="0A764C3F"/>
    <w:rsid w:val="0A876E4C"/>
    <w:rsid w:val="0A97173B"/>
    <w:rsid w:val="0A9F4195"/>
    <w:rsid w:val="0AAC54D9"/>
    <w:rsid w:val="0AAC68B2"/>
    <w:rsid w:val="0AAE262A"/>
    <w:rsid w:val="0AB15C77"/>
    <w:rsid w:val="0ABA2D7D"/>
    <w:rsid w:val="0ADB2CF4"/>
    <w:rsid w:val="0AE04FBF"/>
    <w:rsid w:val="0AE222D4"/>
    <w:rsid w:val="0AE75B3C"/>
    <w:rsid w:val="0AE778EA"/>
    <w:rsid w:val="0AE918B4"/>
    <w:rsid w:val="0AF12517"/>
    <w:rsid w:val="0AF67B2D"/>
    <w:rsid w:val="0AF91133"/>
    <w:rsid w:val="0B010690"/>
    <w:rsid w:val="0B053EB3"/>
    <w:rsid w:val="0B183F48"/>
    <w:rsid w:val="0B24469B"/>
    <w:rsid w:val="0B4B60CB"/>
    <w:rsid w:val="0B4E5BBB"/>
    <w:rsid w:val="0B582596"/>
    <w:rsid w:val="0B6902FF"/>
    <w:rsid w:val="0B73117E"/>
    <w:rsid w:val="0B994EA4"/>
    <w:rsid w:val="0B9C6927"/>
    <w:rsid w:val="0BA25872"/>
    <w:rsid w:val="0BA650B0"/>
    <w:rsid w:val="0BA8707A"/>
    <w:rsid w:val="0BAB4DBC"/>
    <w:rsid w:val="0BAD643E"/>
    <w:rsid w:val="0BB35A1E"/>
    <w:rsid w:val="0BB91287"/>
    <w:rsid w:val="0BC8771C"/>
    <w:rsid w:val="0BD240F7"/>
    <w:rsid w:val="0BD936D7"/>
    <w:rsid w:val="0BE81B6C"/>
    <w:rsid w:val="0C004AAC"/>
    <w:rsid w:val="0C01678A"/>
    <w:rsid w:val="0C0B29FE"/>
    <w:rsid w:val="0C104C1F"/>
    <w:rsid w:val="0C1741FF"/>
    <w:rsid w:val="0C1B3CF0"/>
    <w:rsid w:val="0C1C7A68"/>
    <w:rsid w:val="0C221FBD"/>
    <w:rsid w:val="0C25691C"/>
    <w:rsid w:val="0C2F779B"/>
    <w:rsid w:val="0C3916AA"/>
    <w:rsid w:val="0C3C3C66"/>
    <w:rsid w:val="0C425B23"/>
    <w:rsid w:val="0C4D19CF"/>
    <w:rsid w:val="0C6C454B"/>
    <w:rsid w:val="0C6D3E1F"/>
    <w:rsid w:val="0C760F26"/>
    <w:rsid w:val="0C782EF0"/>
    <w:rsid w:val="0C7E427E"/>
    <w:rsid w:val="0C8278CB"/>
    <w:rsid w:val="0C886EAB"/>
    <w:rsid w:val="0C8F1844"/>
    <w:rsid w:val="0C9E047D"/>
    <w:rsid w:val="0CA041F5"/>
    <w:rsid w:val="0CBB2DDD"/>
    <w:rsid w:val="0CC06645"/>
    <w:rsid w:val="0CC223BD"/>
    <w:rsid w:val="0CC52908"/>
    <w:rsid w:val="0CCD658D"/>
    <w:rsid w:val="0CDB522D"/>
    <w:rsid w:val="0CE75980"/>
    <w:rsid w:val="0CF54541"/>
    <w:rsid w:val="0CF602B9"/>
    <w:rsid w:val="0CF62067"/>
    <w:rsid w:val="0D0E5602"/>
    <w:rsid w:val="0D1C2D59"/>
    <w:rsid w:val="0D1C7D1F"/>
    <w:rsid w:val="0D1F511A"/>
    <w:rsid w:val="0D200E92"/>
    <w:rsid w:val="0D2E7A52"/>
    <w:rsid w:val="0D3B5CCB"/>
    <w:rsid w:val="0D5A0848"/>
    <w:rsid w:val="0D5C45C0"/>
    <w:rsid w:val="0D611BD6"/>
    <w:rsid w:val="0D913B3D"/>
    <w:rsid w:val="0DA16476"/>
    <w:rsid w:val="0DA63A8D"/>
    <w:rsid w:val="0DA87805"/>
    <w:rsid w:val="0DB5782C"/>
    <w:rsid w:val="0DB717F6"/>
    <w:rsid w:val="0DDC300B"/>
    <w:rsid w:val="0DDF5A6F"/>
    <w:rsid w:val="0DF92C82"/>
    <w:rsid w:val="0E0A401C"/>
    <w:rsid w:val="0E1327A4"/>
    <w:rsid w:val="0E146C48"/>
    <w:rsid w:val="0E1704E7"/>
    <w:rsid w:val="0E1C78AB"/>
    <w:rsid w:val="0E2624D8"/>
    <w:rsid w:val="0E3966AF"/>
    <w:rsid w:val="0E484B44"/>
    <w:rsid w:val="0E51464F"/>
    <w:rsid w:val="0E6A6868"/>
    <w:rsid w:val="0E6F20D1"/>
    <w:rsid w:val="0E786FE2"/>
    <w:rsid w:val="0E7A7F46"/>
    <w:rsid w:val="0E811E04"/>
    <w:rsid w:val="0E941B37"/>
    <w:rsid w:val="0E990EFC"/>
    <w:rsid w:val="0EA004DC"/>
    <w:rsid w:val="0EAA3109"/>
    <w:rsid w:val="0EAF6971"/>
    <w:rsid w:val="0EC079BC"/>
    <w:rsid w:val="0EDE1004"/>
    <w:rsid w:val="0EE77EB9"/>
    <w:rsid w:val="0EEB5542"/>
    <w:rsid w:val="0EF84CE8"/>
    <w:rsid w:val="0EFA4090"/>
    <w:rsid w:val="0EFD592E"/>
    <w:rsid w:val="0F0547E3"/>
    <w:rsid w:val="0F174330"/>
    <w:rsid w:val="0F1F3E3B"/>
    <w:rsid w:val="0F242EBB"/>
    <w:rsid w:val="0F360E40"/>
    <w:rsid w:val="0F423341"/>
    <w:rsid w:val="0F4277E5"/>
    <w:rsid w:val="0F5117D6"/>
    <w:rsid w:val="0F5A68DD"/>
    <w:rsid w:val="0F6E4C0B"/>
    <w:rsid w:val="0F76748F"/>
    <w:rsid w:val="0F7709E5"/>
    <w:rsid w:val="0F7A0AA7"/>
    <w:rsid w:val="0F81030D"/>
    <w:rsid w:val="0F8120BC"/>
    <w:rsid w:val="0F82334F"/>
    <w:rsid w:val="0F865924"/>
    <w:rsid w:val="0F8676D2"/>
    <w:rsid w:val="0F8971C2"/>
    <w:rsid w:val="0F9022FF"/>
    <w:rsid w:val="0F9E52D1"/>
    <w:rsid w:val="0FA61B22"/>
    <w:rsid w:val="0FBF4992"/>
    <w:rsid w:val="0FC4644C"/>
    <w:rsid w:val="0FD146C5"/>
    <w:rsid w:val="0FDA5C70"/>
    <w:rsid w:val="0FE663C2"/>
    <w:rsid w:val="0FE8038D"/>
    <w:rsid w:val="0FE95EB3"/>
    <w:rsid w:val="0FF81034"/>
    <w:rsid w:val="0FFC42E4"/>
    <w:rsid w:val="0FFF1232"/>
    <w:rsid w:val="100920B1"/>
    <w:rsid w:val="100E76C7"/>
    <w:rsid w:val="1053332C"/>
    <w:rsid w:val="10545A22"/>
    <w:rsid w:val="105858FC"/>
    <w:rsid w:val="107734BE"/>
    <w:rsid w:val="107E2A9F"/>
    <w:rsid w:val="10BB15FD"/>
    <w:rsid w:val="10C51E56"/>
    <w:rsid w:val="10C761F4"/>
    <w:rsid w:val="10CC380A"/>
    <w:rsid w:val="10D17073"/>
    <w:rsid w:val="10D426BF"/>
    <w:rsid w:val="10DB1C9F"/>
    <w:rsid w:val="10F1501F"/>
    <w:rsid w:val="10F31B2E"/>
    <w:rsid w:val="10FB40F0"/>
    <w:rsid w:val="11020FDA"/>
    <w:rsid w:val="111927C8"/>
    <w:rsid w:val="11203B56"/>
    <w:rsid w:val="11205904"/>
    <w:rsid w:val="11215447"/>
    <w:rsid w:val="112278CE"/>
    <w:rsid w:val="112C7A85"/>
    <w:rsid w:val="11335BD7"/>
    <w:rsid w:val="11365128"/>
    <w:rsid w:val="11366ED6"/>
    <w:rsid w:val="113D0264"/>
    <w:rsid w:val="114A2981"/>
    <w:rsid w:val="115A0E16"/>
    <w:rsid w:val="115A7068"/>
    <w:rsid w:val="115D26B4"/>
    <w:rsid w:val="11647AEA"/>
    <w:rsid w:val="11875983"/>
    <w:rsid w:val="118C11EC"/>
    <w:rsid w:val="11987B90"/>
    <w:rsid w:val="119B4F8B"/>
    <w:rsid w:val="11B1300C"/>
    <w:rsid w:val="11B54F02"/>
    <w:rsid w:val="11BA3663"/>
    <w:rsid w:val="11BD1A9D"/>
    <w:rsid w:val="11C20769"/>
    <w:rsid w:val="11C72224"/>
    <w:rsid w:val="11E20E0C"/>
    <w:rsid w:val="11E44B84"/>
    <w:rsid w:val="11E701D0"/>
    <w:rsid w:val="11F36B75"/>
    <w:rsid w:val="11FA43A7"/>
    <w:rsid w:val="120314AE"/>
    <w:rsid w:val="12040D82"/>
    <w:rsid w:val="1218482D"/>
    <w:rsid w:val="12217B86"/>
    <w:rsid w:val="12282CC2"/>
    <w:rsid w:val="123C051C"/>
    <w:rsid w:val="123F5759"/>
    <w:rsid w:val="12413D84"/>
    <w:rsid w:val="12525F91"/>
    <w:rsid w:val="12597320"/>
    <w:rsid w:val="125F420A"/>
    <w:rsid w:val="1272218F"/>
    <w:rsid w:val="12751C80"/>
    <w:rsid w:val="1279351E"/>
    <w:rsid w:val="128819B3"/>
    <w:rsid w:val="128B4FFF"/>
    <w:rsid w:val="1299596E"/>
    <w:rsid w:val="12B04A66"/>
    <w:rsid w:val="12B44556"/>
    <w:rsid w:val="12B75DF4"/>
    <w:rsid w:val="12BB3B36"/>
    <w:rsid w:val="12C00E90"/>
    <w:rsid w:val="12C34799"/>
    <w:rsid w:val="12D22C2E"/>
    <w:rsid w:val="12D507A9"/>
    <w:rsid w:val="12D746E8"/>
    <w:rsid w:val="12E82452"/>
    <w:rsid w:val="12F86B39"/>
    <w:rsid w:val="13070B2A"/>
    <w:rsid w:val="130D010A"/>
    <w:rsid w:val="13166FBF"/>
    <w:rsid w:val="13196AAF"/>
    <w:rsid w:val="132F0080"/>
    <w:rsid w:val="13367661"/>
    <w:rsid w:val="133B6A25"/>
    <w:rsid w:val="133E6515"/>
    <w:rsid w:val="13441D7E"/>
    <w:rsid w:val="13541895"/>
    <w:rsid w:val="136715C8"/>
    <w:rsid w:val="136A730B"/>
    <w:rsid w:val="136F4921"/>
    <w:rsid w:val="137141F5"/>
    <w:rsid w:val="137837D5"/>
    <w:rsid w:val="138C7281"/>
    <w:rsid w:val="138E124B"/>
    <w:rsid w:val="13912AE9"/>
    <w:rsid w:val="139323BD"/>
    <w:rsid w:val="13960100"/>
    <w:rsid w:val="139D4FEA"/>
    <w:rsid w:val="13A10F7E"/>
    <w:rsid w:val="13AC7923"/>
    <w:rsid w:val="13D604FC"/>
    <w:rsid w:val="13E0137B"/>
    <w:rsid w:val="13E64BE3"/>
    <w:rsid w:val="13EE3A98"/>
    <w:rsid w:val="13F53078"/>
    <w:rsid w:val="14123F1A"/>
    <w:rsid w:val="14157276"/>
    <w:rsid w:val="1424395D"/>
    <w:rsid w:val="143040B0"/>
    <w:rsid w:val="1437543F"/>
    <w:rsid w:val="14397409"/>
    <w:rsid w:val="143A0A8B"/>
    <w:rsid w:val="144E09DA"/>
    <w:rsid w:val="14522278"/>
    <w:rsid w:val="14524026"/>
    <w:rsid w:val="1457163D"/>
    <w:rsid w:val="14665D24"/>
    <w:rsid w:val="14773A8D"/>
    <w:rsid w:val="14776E55"/>
    <w:rsid w:val="147A17CF"/>
    <w:rsid w:val="147C5547"/>
    <w:rsid w:val="14883EEC"/>
    <w:rsid w:val="14983A03"/>
    <w:rsid w:val="149C34F4"/>
    <w:rsid w:val="14A66120"/>
    <w:rsid w:val="14C447F8"/>
    <w:rsid w:val="14C52A4A"/>
    <w:rsid w:val="14D47131"/>
    <w:rsid w:val="14DC005A"/>
    <w:rsid w:val="14DE3B0C"/>
    <w:rsid w:val="14DF1632"/>
    <w:rsid w:val="14E153AA"/>
    <w:rsid w:val="14F21366"/>
    <w:rsid w:val="14F72E20"/>
    <w:rsid w:val="14F90946"/>
    <w:rsid w:val="15051099"/>
    <w:rsid w:val="150C0679"/>
    <w:rsid w:val="150D43F1"/>
    <w:rsid w:val="15145780"/>
    <w:rsid w:val="1517701E"/>
    <w:rsid w:val="15282FD9"/>
    <w:rsid w:val="15294298"/>
    <w:rsid w:val="15323E58"/>
    <w:rsid w:val="153656F6"/>
    <w:rsid w:val="1537146E"/>
    <w:rsid w:val="153876C0"/>
    <w:rsid w:val="15396F94"/>
    <w:rsid w:val="1542409B"/>
    <w:rsid w:val="154A216E"/>
    <w:rsid w:val="15512530"/>
    <w:rsid w:val="15542020"/>
    <w:rsid w:val="155D0ED5"/>
    <w:rsid w:val="15891CCA"/>
    <w:rsid w:val="15910B7E"/>
    <w:rsid w:val="1594066F"/>
    <w:rsid w:val="15A24B3A"/>
    <w:rsid w:val="15AC59B8"/>
    <w:rsid w:val="15B4486D"/>
    <w:rsid w:val="15D20BEF"/>
    <w:rsid w:val="15D53161"/>
    <w:rsid w:val="15E05662"/>
    <w:rsid w:val="15E72E94"/>
    <w:rsid w:val="15EE4223"/>
    <w:rsid w:val="15F054D2"/>
    <w:rsid w:val="1606156C"/>
    <w:rsid w:val="160F7CF5"/>
    <w:rsid w:val="16105F47"/>
    <w:rsid w:val="16113A6D"/>
    <w:rsid w:val="161C2B3E"/>
    <w:rsid w:val="161F618A"/>
    <w:rsid w:val="162C08A7"/>
    <w:rsid w:val="163360DA"/>
    <w:rsid w:val="16371117"/>
    <w:rsid w:val="16421E79"/>
    <w:rsid w:val="164B51D1"/>
    <w:rsid w:val="16526560"/>
    <w:rsid w:val="16561793"/>
    <w:rsid w:val="165D6CB3"/>
    <w:rsid w:val="16685D83"/>
    <w:rsid w:val="16691AFB"/>
    <w:rsid w:val="166B7621"/>
    <w:rsid w:val="167364D6"/>
    <w:rsid w:val="1686445B"/>
    <w:rsid w:val="168B7CC4"/>
    <w:rsid w:val="168D57EA"/>
    <w:rsid w:val="169721C5"/>
    <w:rsid w:val="16A36DBB"/>
    <w:rsid w:val="16AB3EC2"/>
    <w:rsid w:val="16AD7C3A"/>
    <w:rsid w:val="16AF1CC2"/>
    <w:rsid w:val="16C64858"/>
    <w:rsid w:val="16CF493F"/>
    <w:rsid w:val="16D01B7A"/>
    <w:rsid w:val="16D2144F"/>
    <w:rsid w:val="16D76A65"/>
    <w:rsid w:val="17033CFE"/>
    <w:rsid w:val="17084953"/>
    <w:rsid w:val="170F4451"/>
    <w:rsid w:val="17125CEF"/>
    <w:rsid w:val="17147CB9"/>
    <w:rsid w:val="17481711"/>
    <w:rsid w:val="174A5489"/>
    <w:rsid w:val="17620A24"/>
    <w:rsid w:val="177D585E"/>
    <w:rsid w:val="17872239"/>
    <w:rsid w:val="178F10EE"/>
    <w:rsid w:val="1796247C"/>
    <w:rsid w:val="179E3A27"/>
    <w:rsid w:val="17AC1CA0"/>
    <w:rsid w:val="17B60D70"/>
    <w:rsid w:val="17BD3EAD"/>
    <w:rsid w:val="17C76AD9"/>
    <w:rsid w:val="17C84600"/>
    <w:rsid w:val="17D17958"/>
    <w:rsid w:val="17DD454F"/>
    <w:rsid w:val="17DE3E23"/>
    <w:rsid w:val="17E31439"/>
    <w:rsid w:val="17F11DA8"/>
    <w:rsid w:val="17F35B20"/>
    <w:rsid w:val="18057602"/>
    <w:rsid w:val="18083A36"/>
    <w:rsid w:val="18167A61"/>
    <w:rsid w:val="18243F2C"/>
    <w:rsid w:val="18267CA4"/>
    <w:rsid w:val="182C1032"/>
    <w:rsid w:val="183121A5"/>
    <w:rsid w:val="183A374F"/>
    <w:rsid w:val="18494F2A"/>
    <w:rsid w:val="184E0FA9"/>
    <w:rsid w:val="185A5BA0"/>
    <w:rsid w:val="185A794E"/>
    <w:rsid w:val="185F6D12"/>
    <w:rsid w:val="18622CA6"/>
    <w:rsid w:val="18665C86"/>
    <w:rsid w:val="18690202"/>
    <w:rsid w:val="18716A45"/>
    <w:rsid w:val="189746FE"/>
    <w:rsid w:val="18980476"/>
    <w:rsid w:val="189B47D1"/>
    <w:rsid w:val="18A1557C"/>
    <w:rsid w:val="18AD2173"/>
    <w:rsid w:val="18AF5EEB"/>
    <w:rsid w:val="18B3705E"/>
    <w:rsid w:val="18B54B84"/>
    <w:rsid w:val="18C63235"/>
    <w:rsid w:val="18C9062F"/>
    <w:rsid w:val="18CA5306"/>
    <w:rsid w:val="18D53478"/>
    <w:rsid w:val="18D72D4C"/>
    <w:rsid w:val="18F06A79"/>
    <w:rsid w:val="18F90F15"/>
    <w:rsid w:val="18FC0A05"/>
    <w:rsid w:val="19063631"/>
    <w:rsid w:val="190B6E9A"/>
    <w:rsid w:val="190E24E6"/>
    <w:rsid w:val="191C10A7"/>
    <w:rsid w:val="191E4E1F"/>
    <w:rsid w:val="19287A4C"/>
    <w:rsid w:val="1945415A"/>
    <w:rsid w:val="19467ED2"/>
    <w:rsid w:val="19520625"/>
    <w:rsid w:val="195C5947"/>
    <w:rsid w:val="19630A84"/>
    <w:rsid w:val="196F3D04"/>
    <w:rsid w:val="19704F4F"/>
    <w:rsid w:val="19706CFD"/>
    <w:rsid w:val="19742C91"/>
    <w:rsid w:val="197C1B46"/>
    <w:rsid w:val="19831126"/>
    <w:rsid w:val="198D5B01"/>
    <w:rsid w:val="19911D13"/>
    <w:rsid w:val="19AA0461"/>
    <w:rsid w:val="19B17A41"/>
    <w:rsid w:val="19B337B9"/>
    <w:rsid w:val="19B60BB4"/>
    <w:rsid w:val="19C37774"/>
    <w:rsid w:val="19CA0B03"/>
    <w:rsid w:val="19D159ED"/>
    <w:rsid w:val="19D379B8"/>
    <w:rsid w:val="19D92AF4"/>
    <w:rsid w:val="19DB686C"/>
    <w:rsid w:val="19E25E4D"/>
    <w:rsid w:val="19E47977"/>
    <w:rsid w:val="19EA2F53"/>
    <w:rsid w:val="19EA69D7"/>
    <w:rsid w:val="1A0477B0"/>
    <w:rsid w:val="1A09162B"/>
    <w:rsid w:val="1A1324AA"/>
    <w:rsid w:val="1A134258"/>
    <w:rsid w:val="1A293A7B"/>
    <w:rsid w:val="1A3B555D"/>
    <w:rsid w:val="1A3F329F"/>
    <w:rsid w:val="1A473F02"/>
    <w:rsid w:val="1A516B2E"/>
    <w:rsid w:val="1A584361"/>
    <w:rsid w:val="1A5A1E87"/>
    <w:rsid w:val="1A5B79AD"/>
    <w:rsid w:val="1A6920CA"/>
    <w:rsid w:val="1A6A3B28"/>
    <w:rsid w:val="1A6B4094"/>
    <w:rsid w:val="1A6C3968"/>
    <w:rsid w:val="1A6E5932"/>
    <w:rsid w:val="1A750A6F"/>
    <w:rsid w:val="1A7A7E33"/>
    <w:rsid w:val="1A8B0292"/>
    <w:rsid w:val="1A8B2040"/>
    <w:rsid w:val="1A8C5DB8"/>
    <w:rsid w:val="1A974E89"/>
    <w:rsid w:val="1A976C37"/>
    <w:rsid w:val="1AA44EB0"/>
    <w:rsid w:val="1AA650CC"/>
    <w:rsid w:val="1AB3352C"/>
    <w:rsid w:val="1AB86BAD"/>
    <w:rsid w:val="1ABC48F0"/>
    <w:rsid w:val="1AC45552"/>
    <w:rsid w:val="1AC75042"/>
    <w:rsid w:val="1AD559B1"/>
    <w:rsid w:val="1AE9320B"/>
    <w:rsid w:val="1B041DF3"/>
    <w:rsid w:val="1B0818E3"/>
    <w:rsid w:val="1B0E4A1F"/>
    <w:rsid w:val="1B124510"/>
    <w:rsid w:val="1B1C538E"/>
    <w:rsid w:val="1B245FF1"/>
    <w:rsid w:val="1B261D69"/>
    <w:rsid w:val="1B2B3823"/>
    <w:rsid w:val="1B3D52C0"/>
    <w:rsid w:val="1B446693"/>
    <w:rsid w:val="1B506DE6"/>
    <w:rsid w:val="1B5468D6"/>
    <w:rsid w:val="1B5C1C2F"/>
    <w:rsid w:val="1B725F1E"/>
    <w:rsid w:val="1B7927E1"/>
    <w:rsid w:val="1B79633D"/>
    <w:rsid w:val="1B7B0307"/>
    <w:rsid w:val="1B830F69"/>
    <w:rsid w:val="1B862808"/>
    <w:rsid w:val="1B965141"/>
    <w:rsid w:val="1BAC6712"/>
    <w:rsid w:val="1BB32E6B"/>
    <w:rsid w:val="1BB455C7"/>
    <w:rsid w:val="1BCA303C"/>
    <w:rsid w:val="1BD9502D"/>
    <w:rsid w:val="1BDD2D6F"/>
    <w:rsid w:val="1BEA0FE8"/>
    <w:rsid w:val="1BEE39B4"/>
    <w:rsid w:val="1BF6798D"/>
    <w:rsid w:val="1BFA4616"/>
    <w:rsid w:val="1C00080C"/>
    <w:rsid w:val="1C0D39E6"/>
    <w:rsid w:val="1C1B73F4"/>
    <w:rsid w:val="1C202C5C"/>
    <w:rsid w:val="1C224C26"/>
    <w:rsid w:val="1C2A7637"/>
    <w:rsid w:val="1C2D2D6C"/>
    <w:rsid w:val="1C36422E"/>
    <w:rsid w:val="1C4032FE"/>
    <w:rsid w:val="1C454471"/>
    <w:rsid w:val="1C4701E9"/>
    <w:rsid w:val="1C493F61"/>
    <w:rsid w:val="1C4A7CD9"/>
    <w:rsid w:val="1C5F3784"/>
    <w:rsid w:val="1C640D9B"/>
    <w:rsid w:val="1C6B037B"/>
    <w:rsid w:val="1C735482"/>
    <w:rsid w:val="1C746B04"/>
    <w:rsid w:val="1C752FA8"/>
    <w:rsid w:val="1C8256C5"/>
    <w:rsid w:val="1C856F63"/>
    <w:rsid w:val="1C890801"/>
    <w:rsid w:val="1C8E5E18"/>
    <w:rsid w:val="1C964CCC"/>
    <w:rsid w:val="1CA13D9D"/>
    <w:rsid w:val="1CA67605"/>
    <w:rsid w:val="1CB533A4"/>
    <w:rsid w:val="1CB6711D"/>
    <w:rsid w:val="1CCE4466"/>
    <w:rsid w:val="1CD221A8"/>
    <w:rsid w:val="1CD37A8D"/>
    <w:rsid w:val="1CDD6D9F"/>
    <w:rsid w:val="1CDF0421"/>
    <w:rsid w:val="1D01483C"/>
    <w:rsid w:val="1D04257E"/>
    <w:rsid w:val="1D0460DA"/>
    <w:rsid w:val="1D1502E7"/>
    <w:rsid w:val="1D1C3424"/>
    <w:rsid w:val="1D1C78C7"/>
    <w:rsid w:val="1D1F1166"/>
    <w:rsid w:val="1D214EDE"/>
    <w:rsid w:val="1D293D92"/>
    <w:rsid w:val="1D2B18B9"/>
    <w:rsid w:val="1D3A155A"/>
    <w:rsid w:val="1D3E783E"/>
    <w:rsid w:val="1D4666F2"/>
    <w:rsid w:val="1D4806BC"/>
    <w:rsid w:val="1D4F1A4B"/>
    <w:rsid w:val="1D540E0F"/>
    <w:rsid w:val="1D552DD9"/>
    <w:rsid w:val="1D5B6F0E"/>
    <w:rsid w:val="1D5C5F16"/>
    <w:rsid w:val="1D632E00"/>
    <w:rsid w:val="1D644543"/>
    <w:rsid w:val="1D6670E7"/>
    <w:rsid w:val="1D6B6159"/>
    <w:rsid w:val="1D7274E7"/>
    <w:rsid w:val="1D8611E5"/>
    <w:rsid w:val="1D8965DF"/>
    <w:rsid w:val="1D8A4831"/>
    <w:rsid w:val="1DA67191"/>
    <w:rsid w:val="1DAF6046"/>
    <w:rsid w:val="1DB63878"/>
    <w:rsid w:val="1DC00253"/>
    <w:rsid w:val="1DCF493A"/>
    <w:rsid w:val="1DD45AAC"/>
    <w:rsid w:val="1DD957B9"/>
    <w:rsid w:val="1DD97567"/>
    <w:rsid w:val="1DEA4015"/>
    <w:rsid w:val="1DED280B"/>
    <w:rsid w:val="1DF61EC7"/>
    <w:rsid w:val="1E0245F3"/>
    <w:rsid w:val="1E067C30"/>
    <w:rsid w:val="1E0F11DA"/>
    <w:rsid w:val="1E197963"/>
    <w:rsid w:val="1E1B7B7F"/>
    <w:rsid w:val="1E220F0E"/>
    <w:rsid w:val="1E3649B9"/>
    <w:rsid w:val="1E37428D"/>
    <w:rsid w:val="1E3C7C36"/>
    <w:rsid w:val="1E5D1F46"/>
    <w:rsid w:val="1E5E7A6C"/>
    <w:rsid w:val="1E5F5CBE"/>
    <w:rsid w:val="1E7B6870"/>
    <w:rsid w:val="1E7E69CD"/>
    <w:rsid w:val="1E815865"/>
    <w:rsid w:val="1E8E20FF"/>
    <w:rsid w:val="1E952DCB"/>
    <w:rsid w:val="1E990AA4"/>
    <w:rsid w:val="1EA96F39"/>
    <w:rsid w:val="1EAF7A1A"/>
    <w:rsid w:val="1EB1045C"/>
    <w:rsid w:val="1EC75611"/>
    <w:rsid w:val="1EE241F9"/>
    <w:rsid w:val="1EE820C9"/>
    <w:rsid w:val="1EF8649C"/>
    <w:rsid w:val="1F010B23"/>
    <w:rsid w:val="1F060739"/>
    <w:rsid w:val="1F0A2F41"/>
    <w:rsid w:val="1F0B19A2"/>
    <w:rsid w:val="1F114ADE"/>
    <w:rsid w:val="1F1D7927"/>
    <w:rsid w:val="1F226CEB"/>
    <w:rsid w:val="1F3D58D3"/>
    <w:rsid w:val="1F4153C3"/>
    <w:rsid w:val="1F436F19"/>
    <w:rsid w:val="1F4629DA"/>
    <w:rsid w:val="1F576995"/>
    <w:rsid w:val="1F647304"/>
    <w:rsid w:val="1F672950"/>
    <w:rsid w:val="1F6E3CDF"/>
    <w:rsid w:val="1F707A57"/>
    <w:rsid w:val="1F7F7C9A"/>
    <w:rsid w:val="1F811C64"/>
    <w:rsid w:val="1F843502"/>
    <w:rsid w:val="1F9000F9"/>
    <w:rsid w:val="1F933745"/>
    <w:rsid w:val="1FA12306"/>
    <w:rsid w:val="1FA31BDA"/>
    <w:rsid w:val="1FAA11BB"/>
    <w:rsid w:val="1FBC0EEE"/>
    <w:rsid w:val="1FC009DE"/>
    <w:rsid w:val="1FCD4EA9"/>
    <w:rsid w:val="1FDC50EC"/>
    <w:rsid w:val="1FDE2C12"/>
    <w:rsid w:val="1FDE464D"/>
    <w:rsid w:val="1FE30229"/>
    <w:rsid w:val="20020FF7"/>
    <w:rsid w:val="20150990"/>
    <w:rsid w:val="20191E9C"/>
    <w:rsid w:val="201C7BDE"/>
    <w:rsid w:val="20280331"/>
    <w:rsid w:val="203767C6"/>
    <w:rsid w:val="206A6B9C"/>
    <w:rsid w:val="2079293B"/>
    <w:rsid w:val="207D242B"/>
    <w:rsid w:val="20801F1B"/>
    <w:rsid w:val="20887022"/>
    <w:rsid w:val="209459C7"/>
    <w:rsid w:val="209D0D1F"/>
    <w:rsid w:val="209D487B"/>
    <w:rsid w:val="209D4F4E"/>
    <w:rsid w:val="20A35C0A"/>
    <w:rsid w:val="20A5746D"/>
    <w:rsid w:val="20B3409F"/>
    <w:rsid w:val="20CE712B"/>
    <w:rsid w:val="20D67D8D"/>
    <w:rsid w:val="20E424AA"/>
    <w:rsid w:val="20EE50D7"/>
    <w:rsid w:val="20FF5536"/>
    <w:rsid w:val="2100305C"/>
    <w:rsid w:val="21022930"/>
    <w:rsid w:val="211A2370"/>
    <w:rsid w:val="211B1E29"/>
    <w:rsid w:val="213827F6"/>
    <w:rsid w:val="213B4094"/>
    <w:rsid w:val="21464F13"/>
    <w:rsid w:val="214967B1"/>
    <w:rsid w:val="216B6728"/>
    <w:rsid w:val="21751354"/>
    <w:rsid w:val="217A2E0F"/>
    <w:rsid w:val="21871088"/>
    <w:rsid w:val="218D2B42"/>
    <w:rsid w:val="21957C48"/>
    <w:rsid w:val="219C2D85"/>
    <w:rsid w:val="21BE0F4D"/>
    <w:rsid w:val="21C85928"/>
    <w:rsid w:val="21CD072E"/>
    <w:rsid w:val="21E309B4"/>
    <w:rsid w:val="21E464DA"/>
    <w:rsid w:val="21E604A4"/>
    <w:rsid w:val="21EA7F94"/>
    <w:rsid w:val="21EB5ABA"/>
    <w:rsid w:val="220B49C5"/>
    <w:rsid w:val="22162B37"/>
    <w:rsid w:val="22192627"/>
    <w:rsid w:val="221B61BB"/>
    <w:rsid w:val="222073DC"/>
    <w:rsid w:val="22266AF2"/>
    <w:rsid w:val="222D60D3"/>
    <w:rsid w:val="222D7E81"/>
    <w:rsid w:val="2237485C"/>
    <w:rsid w:val="22431452"/>
    <w:rsid w:val="22435553"/>
    <w:rsid w:val="225418B2"/>
    <w:rsid w:val="226513C9"/>
    <w:rsid w:val="226A4C31"/>
    <w:rsid w:val="22714212"/>
    <w:rsid w:val="22721D38"/>
    <w:rsid w:val="227B0BEC"/>
    <w:rsid w:val="227E19F0"/>
    <w:rsid w:val="227E248B"/>
    <w:rsid w:val="22821F7B"/>
    <w:rsid w:val="22883309"/>
    <w:rsid w:val="22885DAA"/>
    <w:rsid w:val="228A7081"/>
    <w:rsid w:val="228E4DC3"/>
    <w:rsid w:val="2298179E"/>
    <w:rsid w:val="229972C4"/>
    <w:rsid w:val="22A53EBB"/>
    <w:rsid w:val="22AD4B1E"/>
    <w:rsid w:val="22C00CF5"/>
    <w:rsid w:val="22C32593"/>
    <w:rsid w:val="22D12F02"/>
    <w:rsid w:val="22DA1DB7"/>
    <w:rsid w:val="22E42C35"/>
    <w:rsid w:val="22E5075C"/>
    <w:rsid w:val="22F15352"/>
    <w:rsid w:val="22F64717"/>
    <w:rsid w:val="23004835"/>
    <w:rsid w:val="231B417D"/>
    <w:rsid w:val="23203542"/>
    <w:rsid w:val="23264FFC"/>
    <w:rsid w:val="23272B22"/>
    <w:rsid w:val="232748D0"/>
    <w:rsid w:val="232C0139"/>
    <w:rsid w:val="233B65CE"/>
    <w:rsid w:val="23405992"/>
    <w:rsid w:val="234C07DB"/>
    <w:rsid w:val="235002CB"/>
    <w:rsid w:val="235558E1"/>
    <w:rsid w:val="23641680"/>
    <w:rsid w:val="236755C4"/>
    <w:rsid w:val="237D6BE6"/>
    <w:rsid w:val="237F295E"/>
    <w:rsid w:val="239D182C"/>
    <w:rsid w:val="23B26890"/>
    <w:rsid w:val="23B51EDC"/>
    <w:rsid w:val="23BA6098"/>
    <w:rsid w:val="23CE11F0"/>
    <w:rsid w:val="23CE7442"/>
    <w:rsid w:val="23DA5C85"/>
    <w:rsid w:val="23DC390D"/>
    <w:rsid w:val="23DC56BB"/>
    <w:rsid w:val="23E9602A"/>
    <w:rsid w:val="23F073B8"/>
    <w:rsid w:val="23F46EA8"/>
    <w:rsid w:val="23F52C20"/>
    <w:rsid w:val="23F63C20"/>
    <w:rsid w:val="23F70746"/>
    <w:rsid w:val="23F83D03"/>
    <w:rsid w:val="24030E99"/>
    <w:rsid w:val="24084702"/>
    <w:rsid w:val="24092228"/>
    <w:rsid w:val="240B5FA0"/>
    <w:rsid w:val="240F5A90"/>
    <w:rsid w:val="241430A6"/>
    <w:rsid w:val="241F1A4B"/>
    <w:rsid w:val="243472A5"/>
    <w:rsid w:val="2435126F"/>
    <w:rsid w:val="24374FE7"/>
    <w:rsid w:val="24376D95"/>
    <w:rsid w:val="243948BB"/>
    <w:rsid w:val="24482D50"/>
    <w:rsid w:val="244D65B8"/>
    <w:rsid w:val="24507119"/>
    <w:rsid w:val="245416F5"/>
    <w:rsid w:val="245B6F27"/>
    <w:rsid w:val="24635DDC"/>
    <w:rsid w:val="246B6A3F"/>
    <w:rsid w:val="246E7E29"/>
    <w:rsid w:val="247C0C4C"/>
    <w:rsid w:val="247E49C4"/>
    <w:rsid w:val="248024EA"/>
    <w:rsid w:val="248C70E1"/>
    <w:rsid w:val="248D2E59"/>
    <w:rsid w:val="248F4E23"/>
    <w:rsid w:val="249B19C2"/>
    <w:rsid w:val="24A7216D"/>
    <w:rsid w:val="24AF2DCF"/>
    <w:rsid w:val="24C83E91"/>
    <w:rsid w:val="24D32F62"/>
    <w:rsid w:val="24DE36B4"/>
    <w:rsid w:val="24DE5462"/>
    <w:rsid w:val="24DF1D4A"/>
    <w:rsid w:val="24EC7B7F"/>
    <w:rsid w:val="24F07BEB"/>
    <w:rsid w:val="250824DF"/>
    <w:rsid w:val="2513335E"/>
    <w:rsid w:val="251B66B7"/>
    <w:rsid w:val="252437BD"/>
    <w:rsid w:val="25270BB7"/>
    <w:rsid w:val="252C08C4"/>
    <w:rsid w:val="253634F0"/>
    <w:rsid w:val="25396B3D"/>
    <w:rsid w:val="253D487F"/>
    <w:rsid w:val="25401C79"/>
    <w:rsid w:val="254259F1"/>
    <w:rsid w:val="25427493"/>
    <w:rsid w:val="255B6AB3"/>
    <w:rsid w:val="255D0A7D"/>
    <w:rsid w:val="256C6F12"/>
    <w:rsid w:val="256E67E6"/>
    <w:rsid w:val="256F255E"/>
    <w:rsid w:val="257007B0"/>
    <w:rsid w:val="25777D91"/>
    <w:rsid w:val="25965D3D"/>
    <w:rsid w:val="259D58DB"/>
    <w:rsid w:val="259D70CC"/>
    <w:rsid w:val="25A641D2"/>
    <w:rsid w:val="25A77F4A"/>
    <w:rsid w:val="25AB7A3A"/>
    <w:rsid w:val="25AC730F"/>
    <w:rsid w:val="25AE3087"/>
    <w:rsid w:val="25BD21EF"/>
    <w:rsid w:val="25C8235F"/>
    <w:rsid w:val="25D23F13"/>
    <w:rsid w:val="25D30D3F"/>
    <w:rsid w:val="25DD571A"/>
    <w:rsid w:val="25EC3BAF"/>
    <w:rsid w:val="25EE7927"/>
    <w:rsid w:val="25F0369F"/>
    <w:rsid w:val="260F621B"/>
    <w:rsid w:val="26233A75"/>
    <w:rsid w:val="26461511"/>
    <w:rsid w:val="2657371E"/>
    <w:rsid w:val="265A6D6B"/>
    <w:rsid w:val="266B541C"/>
    <w:rsid w:val="26712A32"/>
    <w:rsid w:val="267E514F"/>
    <w:rsid w:val="268362C1"/>
    <w:rsid w:val="268F2EB8"/>
    <w:rsid w:val="26BE554B"/>
    <w:rsid w:val="26D1527F"/>
    <w:rsid w:val="26D27249"/>
    <w:rsid w:val="26E66850"/>
    <w:rsid w:val="26ED5E31"/>
    <w:rsid w:val="26F471BF"/>
    <w:rsid w:val="27054F28"/>
    <w:rsid w:val="27084A19"/>
    <w:rsid w:val="2720370E"/>
    <w:rsid w:val="27225ADA"/>
    <w:rsid w:val="272C6959"/>
    <w:rsid w:val="27363334"/>
    <w:rsid w:val="273D46C2"/>
    <w:rsid w:val="27457A1B"/>
    <w:rsid w:val="274A6DDF"/>
    <w:rsid w:val="27514612"/>
    <w:rsid w:val="275D2FB6"/>
    <w:rsid w:val="27613B9F"/>
    <w:rsid w:val="276C144B"/>
    <w:rsid w:val="276C4FA7"/>
    <w:rsid w:val="277C1075"/>
    <w:rsid w:val="27826579"/>
    <w:rsid w:val="27A961FC"/>
    <w:rsid w:val="27AC275C"/>
    <w:rsid w:val="27B34984"/>
    <w:rsid w:val="27BA3F65"/>
    <w:rsid w:val="27DC212D"/>
    <w:rsid w:val="27E2526A"/>
    <w:rsid w:val="27EE3C0E"/>
    <w:rsid w:val="27F21951"/>
    <w:rsid w:val="27F5073E"/>
    <w:rsid w:val="28101DD7"/>
    <w:rsid w:val="28125B4F"/>
    <w:rsid w:val="28213FE4"/>
    <w:rsid w:val="28215D92"/>
    <w:rsid w:val="28245882"/>
    <w:rsid w:val="282910EA"/>
    <w:rsid w:val="283C2BCC"/>
    <w:rsid w:val="2857707D"/>
    <w:rsid w:val="285D2B42"/>
    <w:rsid w:val="286363AA"/>
    <w:rsid w:val="28681C13"/>
    <w:rsid w:val="287E4F92"/>
    <w:rsid w:val="288527C5"/>
    <w:rsid w:val="288E0F4E"/>
    <w:rsid w:val="289447B6"/>
    <w:rsid w:val="289E5635"/>
    <w:rsid w:val="28A54C15"/>
    <w:rsid w:val="28A569C3"/>
    <w:rsid w:val="28A95D87"/>
    <w:rsid w:val="28B07116"/>
    <w:rsid w:val="28BC5ABB"/>
    <w:rsid w:val="28DB0637"/>
    <w:rsid w:val="28DC43AF"/>
    <w:rsid w:val="28E60D8A"/>
    <w:rsid w:val="28EF40E2"/>
    <w:rsid w:val="28FE4325"/>
    <w:rsid w:val="291476A5"/>
    <w:rsid w:val="29183639"/>
    <w:rsid w:val="291E0523"/>
    <w:rsid w:val="292D69B8"/>
    <w:rsid w:val="29314D1C"/>
    <w:rsid w:val="29332221"/>
    <w:rsid w:val="293E2974"/>
    <w:rsid w:val="29475CCC"/>
    <w:rsid w:val="295757E3"/>
    <w:rsid w:val="29695C42"/>
    <w:rsid w:val="2974579E"/>
    <w:rsid w:val="29752839"/>
    <w:rsid w:val="29804B42"/>
    <w:rsid w:val="298760C9"/>
    <w:rsid w:val="298A3E0B"/>
    <w:rsid w:val="299E3412"/>
    <w:rsid w:val="29A0718A"/>
    <w:rsid w:val="29A22F02"/>
    <w:rsid w:val="29A749BD"/>
    <w:rsid w:val="29B50E88"/>
    <w:rsid w:val="29B64C00"/>
    <w:rsid w:val="29B669AE"/>
    <w:rsid w:val="29B9024C"/>
    <w:rsid w:val="29BA649E"/>
    <w:rsid w:val="29C812F8"/>
    <w:rsid w:val="29D357B2"/>
    <w:rsid w:val="29D60DFE"/>
    <w:rsid w:val="29E21551"/>
    <w:rsid w:val="29E4351B"/>
    <w:rsid w:val="29E90B31"/>
    <w:rsid w:val="29EA6A0F"/>
    <w:rsid w:val="29F574D6"/>
    <w:rsid w:val="29F64FFC"/>
    <w:rsid w:val="29F80D74"/>
    <w:rsid w:val="2A08668D"/>
    <w:rsid w:val="2A151926"/>
    <w:rsid w:val="2A1738F0"/>
    <w:rsid w:val="2A20564D"/>
    <w:rsid w:val="2A385615"/>
    <w:rsid w:val="2A3A75DF"/>
    <w:rsid w:val="2A3C3357"/>
    <w:rsid w:val="2A3D6197"/>
    <w:rsid w:val="2A3E70CF"/>
    <w:rsid w:val="2A420242"/>
    <w:rsid w:val="2A4B17EC"/>
    <w:rsid w:val="2A4E4E38"/>
    <w:rsid w:val="2A5A558B"/>
    <w:rsid w:val="2A662182"/>
    <w:rsid w:val="2A7F3244"/>
    <w:rsid w:val="2A862824"/>
    <w:rsid w:val="2A8820F8"/>
    <w:rsid w:val="2A896FC6"/>
    <w:rsid w:val="2AA9206F"/>
    <w:rsid w:val="2AB078A1"/>
    <w:rsid w:val="2AB70C30"/>
    <w:rsid w:val="2ABD4FE7"/>
    <w:rsid w:val="2AC1385C"/>
    <w:rsid w:val="2AD25A69"/>
    <w:rsid w:val="2AE80DE9"/>
    <w:rsid w:val="2AE9690F"/>
    <w:rsid w:val="2AEA2DB3"/>
    <w:rsid w:val="2AEC6B2B"/>
    <w:rsid w:val="2B163BA8"/>
    <w:rsid w:val="2B225CB9"/>
    <w:rsid w:val="2B2A1401"/>
    <w:rsid w:val="2B2F07C6"/>
    <w:rsid w:val="2B3E6C5B"/>
    <w:rsid w:val="2B457FE9"/>
    <w:rsid w:val="2B465B0F"/>
    <w:rsid w:val="2B5446D0"/>
    <w:rsid w:val="2B563FA5"/>
    <w:rsid w:val="2B577D1D"/>
    <w:rsid w:val="2B5D3585"/>
    <w:rsid w:val="2B620B9B"/>
    <w:rsid w:val="2B6568DD"/>
    <w:rsid w:val="2B722F5E"/>
    <w:rsid w:val="2BAA42F0"/>
    <w:rsid w:val="2BB533C1"/>
    <w:rsid w:val="2BB5686A"/>
    <w:rsid w:val="2BC96E6C"/>
    <w:rsid w:val="2BCD46DC"/>
    <w:rsid w:val="2BD575BF"/>
    <w:rsid w:val="2BD61589"/>
    <w:rsid w:val="2BD63337"/>
    <w:rsid w:val="2BE37B42"/>
    <w:rsid w:val="2BE94E19"/>
    <w:rsid w:val="2BFD2672"/>
    <w:rsid w:val="2C1D0F66"/>
    <w:rsid w:val="2C3342E6"/>
    <w:rsid w:val="2C4B5AD3"/>
    <w:rsid w:val="2C534988"/>
    <w:rsid w:val="2C536736"/>
    <w:rsid w:val="2C564AE9"/>
    <w:rsid w:val="2C610E53"/>
    <w:rsid w:val="2C7C5C8D"/>
    <w:rsid w:val="2C802D10"/>
    <w:rsid w:val="2C83526D"/>
    <w:rsid w:val="2C8C39F6"/>
    <w:rsid w:val="2CA46F92"/>
    <w:rsid w:val="2CA64AB8"/>
    <w:rsid w:val="2CB43679"/>
    <w:rsid w:val="2CB573F1"/>
    <w:rsid w:val="2CBF3DCB"/>
    <w:rsid w:val="2CC47634"/>
    <w:rsid w:val="2CCF04B2"/>
    <w:rsid w:val="2CD755B9"/>
    <w:rsid w:val="2CDA6E57"/>
    <w:rsid w:val="2CE1615C"/>
    <w:rsid w:val="2CE43832"/>
    <w:rsid w:val="2CF73565"/>
    <w:rsid w:val="2D032C37"/>
    <w:rsid w:val="2D0839C4"/>
    <w:rsid w:val="2D0B7011"/>
    <w:rsid w:val="2D0D0FDB"/>
    <w:rsid w:val="2D142369"/>
    <w:rsid w:val="2D194E5C"/>
    <w:rsid w:val="2D1C0C0C"/>
    <w:rsid w:val="2D214A86"/>
    <w:rsid w:val="2D281971"/>
    <w:rsid w:val="2D297497"/>
    <w:rsid w:val="2D2B320F"/>
    <w:rsid w:val="2D2F2CFF"/>
    <w:rsid w:val="2D314CC9"/>
    <w:rsid w:val="2D3227EF"/>
    <w:rsid w:val="2D3A58D6"/>
    <w:rsid w:val="2D412A32"/>
    <w:rsid w:val="2D4B38B1"/>
    <w:rsid w:val="2D55028C"/>
    <w:rsid w:val="2D5C5ABE"/>
    <w:rsid w:val="2D630BFB"/>
    <w:rsid w:val="2D6B7AAF"/>
    <w:rsid w:val="2D7E3C87"/>
    <w:rsid w:val="2D80355B"/>
    <w:rsid w:val="2D8804E2"/>
    <w:rsid w:val="2DA41CC4"/>
    <w:rsid w:val="2DB17BB8"/>
    <w:rsid w:val="2DC20777"/>
    <w:rsid w:val="2DC31699"/>
    <w:rsid w:val="2DCF003E"/>
    <w:rsid w:val="2DCF6290"/>
    <w:rsid w:val="2DDF2977"/>
    <w:rsid w:val="2DE33AEA"/>
    <w:rsid w:val="2DE7182C"/>
    <w:rsid w:val="2DEA080B"/>
    <w:rsid w:val="2DEA4E78"/>
    <w:rsid w:val="2DF47AA5"/>
    <w:rsid w:val="2DFF6DF0"/>
    <w:rsid w:val="2E0917A2"/>
    <w:rsid w:val="2E100D83"/>
    <w:rsid w:val="2E1465D9"/>
    <w:rsid w:val="2E3507E9"/>
    <w:rsid w:val="2E372A60"/>
    <w:rsid w:val="2E443383"/>
    <w:rsid w:val="2E514EF7"/>
    <w:rsid w:val="2E56075F"/>
    <w:rsid w:val="2E7F1A64"/>
    <w:rsid w:val="2E7F3812"/>
    <w:rsid w:val="2E81758A"/>
    <w:rsid w:val="2E84707B"/>
    <w:rsid w:val="2E933762"/>
    <w:rsid w:val="2EA25753"/>
    <w:rsid w:val="2EA27501"/>
    <w:rsid w:val="2EAB0AAB"/>
    <w:rsid w:val="2EB84F76"/>
    <w:rsid w:val="2EBF4557"/>
    <w:rsid w:val="2EC41B6D"/>
    <w:rsid w:val="2EC658E5"/>
    <w:rsid w:val="2ED55B28"/>
    <w:rsid w:val="2EE144CD"/>
    <w:rsid w:val="2EE23E45"/>
    <w:rsid w:val="2EED10C4"/>
    <w:rsid w:val="2F081A5A"/>
    <w:rsid w:val="2F0D7070"/>
    <w:rsid w:val="2F1176A4"/>
    <w:rsid w:val="2F154177"/>
    <w:rsid w:val="2F1C3757"/>
    <w:rsid w:val="2F302D5E"/>
    <w:rsid w:val="2F325535"/>
    <w:rsid w:val="2F3C1703"/>
    <w:rsid w:val="2F45680A"/>
    <w:rsid w:val="2F566C69"/>
    <w:rsid w:val="2F5922B5"/>
    <w:rsid w:val="2F5E78CC"/>
    <w:rsid w:val="2F634EE2"/>
    <w:rsid w:val="2F650C5A"/>
    <w:rsid w:val="2F6A348D"/>
    <w:rsid w:val="2F861B77"/>
    <w:rsid w:val="2FA01C92"/>
    <w:rsid w:val="2FA15A0A"/>
    <w:rsid w:val="2FA43932"/>
    <w:rsid w:val="2FA572A9"/>
    <w:rsid w:val="2FAA48BF"/>
    <w:rsid w:val="2FAF6379"/>
    <w:rsid w:val="2FC00586"/>
    <w:rsid w:val="2FC242FE"/>
    <w:rsid w:val="2FC516F9"/>
    <w:rsid w:val="2FD22068"/>
    <w:rsid w:val="2FD47B8E"/>
    <w:rsid w:val="2FD91648"/>
    <w:rsid w:val="2FDE27BA"/>
    <w:rsid w:val="2FE204FD"/>
    <w:rsid w:val="2FF41FDE"/>
    <w:rsid w:val="2FFB511A"/>
    <w:rsid w:val="30055F99"/>
    <w:rsid w:val="30077F63"/>
    <w:rsid w:val="300814FC"/>
    <w:rsid w:val="300E1424"/>
    <w:rsid w:val="30134B5A"/>
    <w:rsid w:val="301601A6"/>
    <w:rsid w:val="30183F1E"/>
    <w:rsid w:val="30226B4B"/>
    <w:rsid w:val="3030577F"/>
    <w:rsid w:val="3050190A"/>
    <w:rsid w:val="30542A7D"/>
    <w:rsid w:val="30556F21"/>
    <w:rsid w:val="305C317B"/>
    <w:rsid w:val="30654C8A"/>
    <w:rsid w:val="30744ECD"/>
    <w:rsid w:val="30847806"/>
    <w:rsid w:val="30937A49"/>
    <w:rsid w:val="30A6777C"/>
    <w:rsid w:val="30A734F4"/>
    <w:rsid w:val="30B5176D"/>
    <w:rsid w:val="30B8125D"/>
    <w:rsid w:val="30BF25EC"/>
    <w:rsid w:val="30E063E1"/>
    <w:rsid w:val="30E42053"/>
    <w:rsid w:val="30E65DCB"/>
    <w:rsid w:val="30F06C49"/>
    <w:rsid w:val="30FD3114"/>
    <w:rsid w:val="30FF6E8C"/>
    <w:rsid w:val="310444A3"/>
    <w:rsid w:val="31101099"/>
    <w:rsid w:val="311F752F"/>
    <w:rsid w:val="312863E3"/>
    <w:rsid w:val="31307174"/>
    <w:rsid w:val="31350B00"/>
    <w:rsid w:val="313C3C3D"/>
    <w:rsid w:val="315E0057"/>
    <w:rsid w:val="31626AF7"/>
    <w:rsid w:val="316311C9"/>
    <w:rsid w:val="31644F41"/>
    <w:rsid w:val="316D3DF6"/>
    <w:rsid w:val="31741628"/>
    <w:rsid w:val="3192385D"/>
    <w:rsid w:val="31A11CF2"/>
    <w:rsid w:val="31A812D2"/>
    <w:rsid w:val="31AA329C"/>
    <w:rsid w:val="31B25CAD"/>
    <w:rsid w:val="31D420C7"/>
    <w:rsid w:val="31E85B72"/>
    <w:rsid w:val="32026EB0"/>
    <w:rsid w:val="321150C9"/>
    <w:rsid w:val="32335040"/>
    <w:rsid w:val="32342B66"/>
    <w:rsid w:val="32430FFB"/>
    <w:rsid w:val="324D551D"/>
    <w:rsid w:val="325154C6"/>
    <w:rsid w:val="32582CF8"/>
    <w:rsid w:val="32584AA6"/>
    <w:rsid w:val="325925CC"/>
    <w:rsid w:val="325F4087"/>
    <w:rsid w:val="326571C3"/>
    <w:rsid w:val="326A6587"/>
    <w:rsid w:val="32700042"/>
    <w:rsid w:val="32904240"/>
    <w:rsid w:val="32916AD0"/>
    <w:rsid w:val="32987598"/>
    <w:rsid w:val="32AB72CC"/>
    <w:rsid w:val="32AE2918"/>
    <w:rsid w:val="32B20E8F"/>
    <w:rsid w:val="32C0264B"/>
    <w:rsid w:val="32C739DA"/>
    <w:rsid w:val="32CC2D9E"/>
    <w:rsid w:val="32D80E10"/>
    <w:rsid w:val="32E14A9C"/>
    <w:rsid w:val="32EB3B6C"/>
    <w:rsid w:val="32F522F5"/>
    <w:rsid w:val="32FC7B27"/>
    <w:rsid w:val="32FF3174"/>
    <w:rsid w:val="33022C64"/>
    <w:rsid w:val="330B38C7"/>
    <w:rsid w:val="331A1D5C"/>
    <w:rsid w:val="331D7A9E"/>
    <w:rsid w:val="332130EA"/>
    <w:rsid w:val="33226E62"/>
    <w:rsid w:val="3328091C"/>
    <w:rsid w:val="33294694"/>
    <w:rsid w:val="332C1A8F"/>
    <w:rsid w:val="332E1CAB"/>
    <w:rsid w:val="333C7F24"/>
    <w:rsid w:val="33446DD8"/>
    <w:rsid w:val="33462B51"/>
    <w:rsid w:val="33490893"/>
    <w:rsid w:val="334D3EDF"/>
    <w:rsid w:val="33557238"/>
    <w:rsid w:val="33582884"/>
    <w:rsid w:val="335A1F1F"/>
    <w:rsid w:val="335D7E9A"/>
    <w:rsid w:val="335E60EC"/>
    <w:rsid w:val="33661C03"/>
    <w:rsid w:val="33707BCD"/>
    <w:rsid w:val="33792F26"/>
    <w:rsid w:val="337C47C4"/>
    <w:rsid w:val="3381627F"/>
    <w:rsid w:val="33854CC4"/>
    <w:rsid w:val="338D077F"/>
    <w:rsid w:val="338F6C60"/>
    <w:rsid w:val="33941B0E"/>
    <w:rsid w:val="339F04B3"/>
    <w:rsid w:val="33A1247D"/>
    <w:rsid w:val="33AA7583"/>
    <w:rsid w:val="33AD0E22"/>
    <w:rsid w:val="33AD2BD0"/>
    <w:rsid w:val="33B43F5E"/>
    <w:rsid w:val="33C87AB6"/>
    <w:rsid w:val="33D463AE"/>
    <w:rsid w:val="33E34843"/>
    <w:rsid w:val="33E4212F"/>
    <w:rsid w:val="33E67E90"/>
    <w:rsid w:val="33E77047"/>
    <w:rsid w:val="33EF31E8"/>
    <w:rsid w:val="33F81618"/>
    <w:rsid w:val="3402116D"/>
    <w:rsid w:val="34050C5E"/>
    <w:rsid w:val="34076784"/>
    <w:rsid w:val="340F388A"/>
    <w:rsid w:val="34120C85"/>
    <w:rsid w:val="3428494C"/>
    <w:rsid w:val="342C7F98"/>
    <w:rsid w:val="342D5ABF"/>
    <w:rsid w:val="342F5CDB"/>
    <w:rsid w:val="34311A53"/>
    <w:rsid w:val="34321327"/>
    <w:rsid w:val="3442156A"/>
    <w:rsid w:val="34425A0E"/>
    <w:rsid w:val="344D7F0F"/>
    <w:rsid w:val="3454129D"/>
    <w:rsid w:val="34684D49"/>
    <w:rsid w:val="346E6803"/>
    <w:rsid w:val="34784F8C"/>
    <w:rsid w:val="348A4CBF"/>
    <w:rsid w:val="34B63D06"/>
    <w:rsid w:val="34C603ED"/>
    <w:rsid w:val="34D26B14"/>
    <w:rsid w:val="34E00D83"/>
    <w:rsid w:val="34E72111"/>
    <w:rsid w:val="34EA39B0"/>
    <w:rsid w:val="34EB1C02"/>
    <w:rsid w:val="34F605A6"/>
    <w:rsid w:val="35011425"/>
    <w:rsid w:val="350B398B"/>
    <w:rsid w:val="351A6043"/>
    <w:rsid w:val="351F5D4F"/>
    <w:rsid w:val="352E7D40"/>
    <w:rsid w:val="353115DE"/>
    <w:rsid w:val="35441312"/>
    <w:rsid w:val="354B26A0"/>
    <w:rsid w:val="354C01C6"/>
    <w:rsid w:val="35551771"/>
    <w:rsid w:val="355D23D3"/>
    <w:rsid w:val="35690D78"/>
    <w:rsid w:val="356A1E08"/>
    <w:rsid w:val="357A4FDA"/>
    <w:rsid w:val="357C0AAC"/>
    <w:rsid w:val="357F059C"/>
    <w:rsid w:val="35814314"/>
    <w:rsid w:val="3586192A"/>
    <w:rsid w:val="35927056"/>
    <w:rsid w:val="35944047"/>
    <w:rsid w:val="35A46254"/>
    <w:rsid w:val="35A818A1"/>
    <w:rsid w:val="35AD6EB7"/>
    <w:rsid w:val="35B9585C"/>
    <w:rsid w:val="35BE2E72"/>
    <w:rsid w:val="35C00993"/>
    <w:rsid w:val="35C50285"/>
    <w:rsid w:val="35C6441D"/>
    <w:rsid w:val="35C83CF1"/>
    <w:rsid w:val="35CB1A33"/>
    <w:rsid w:val="35CD7559"/>
    <w:rsid w:val="35D24B6F"/>
    <w:rsid w:val="35DC686C"/>
    <w:rsid w:val="35E30B2B"/>
    <w:rsid w:val="35EA1EB9"/>
    <w:rsid w:val="35F72828"/>
    <w:rsid w:val="35F745D6"/>
    <w:rsid w:val="35F76384"/>
    <w:rsid w:val="35FA5E74"/>
    <w:rsid w:val="35FB40C6"/>
    <w:rsid w:val="36174C78"/>
    <w:rsid w:val="361909F0"/>
    <w:rsid w:val="362178A5"/>
    <w:rsid w:val="36237179"/>
    <w:rsid w:val="362C0724"/>
    <w:rsid w:val="363B0967"/>
    <w:rsid w:val="363E0457"/>
    <w:rsid w:val="364A2958"/>
    <w:rsid w:val="3651018A"/>
    <w:rsid w:val="36533F02"/>
    <w:rsid w:val="36545584"/>
    <w:rsid w:val="3657305F"/>
    <w:rsid w:val="365E4655"/>
    <w:rsid w:val="36637A36"/>
    <w:rsid w:val="3667350A"/>
    <w:rsid w:val="366B28CE"/>
    <w:rsid w:val="366D571E"/>
    <w:rsid w:val="367125DA"/>
    <w:rsid w:val="36826596"/>
    <w:rsid w:val="36914A2B"/>
    <w:rsid w:val="36932551"/>
    <w:rsid w:val="36980F90"/>
    <w:rsid w:val="369C7F24"/>
    <w:rsid w:val="36AA50EA"/>
    <w:rsid w:val="36B85B13"/>
    <w:rsid w:val="36C00E6C"/>
    <w:rsid w:val="36C721FA"/>
    <w:rsid w:val="36CA03D1"/>
    <w:rsid w:val="36D14E27"/>
    <w:rsid w:val="36D80FD9"/>
    <w:rsid w:val="36E3233C"/>
    <w:rsid w:val="36E36908"/>
    <w:rsid w:val="36FD79CA"/>
    <w:rsid w:val="3700570C"/>
    <w:rsid w:val="37022F00"/>
    <w:rsid w:val="370C2303"/>
    <w:rsid w:val="370E7E29"/>
    <w:rsid w:val="371511B8"/>
    <w:rsid w:val="3716753C"/>
    <w:rsid w:val="37184804"/>
    <w:rsid w:val="371B2546"/>
    <w:rsid w:val="371D006C"/>
    <w:rsid w:val="37256F21"/>
    <w:rsid w:val="37272C99"/>
    <w:rsid w:val="372F1B4E"/>
    <w:rsid w:val="37307DA0"/>
    <w:rsid w:val="37335AE2"/>
    <w:rsid w:val="373F2EE8"/>
    <w:rsid w:val="373F7FE3"/>
    <w:rsid w:val="37441A9D"/>
    <w:rsid w:val="3748589D"/>
    <w:rsid w:val="37534E15"/>
    <w:rsid w:val="37645C9B"/>
    <w:rsid w:val="37661A13"/>
    <w:rsid w:val="376C4B50"/>
    <w:rsid w:val="3772660A"/>
    <w:rsid w:val="37757EA8"/>
    <w:rsid w:val="378123A9"/>
    <w:rsid w:val="3784633D"/>
    <w:rsid w:val="3787198A"/>
    <w:rsid w:val="379522F8"/>
    <w:rsid w:val="37985945"/>
    <w:rsid w:val="379C71E3"/>
    <w:rsid w:val="37A34A15"/>
    <w:rsid w:val="37A602B6"/>
    <w:rsid w:val="37BE41A8"/>
    <w:rsid w:val="37C56B6C"/>
    <w:rsid w:val="37DF17C6"/>
    <w:rsid w:val="37E56DDC"/>
    <w:rsid w:val="37EE37B7"/>
    <w:rsid w:val="37F30DCD"/>
    <w:rsid w:val="37F4701F"/>
    <w:rsid w:val="37F7257F"/>
    <w:rsid w:val="37FB65FF"/>
    <w:rsid w:val="37FF389B"/>
    <w:rsid w:val="38043ADC"/>
    <w:rsid w:val="382471D8"/>
    <w:rsid w:val="384004B6"/>
    <w:rsid w:val="38417D8A"/>
    <w:rsid w:val="38481119"/>
    <w:rsid w:val="384855BD"/>
    <w:rsid w:val="38563836"/>
    <w:rsid w:val="38575800"/>
    <w:rsid w:val="3869495B"/>
    <w:rsid w:val="387737AC"/>
    <w:rsid w:val="387E0FDF"/>
    <w:rsid w:val="38855EC9"/>
    <w:rsid w:val="38883C0B"/>
    <w:rsid w:val="38997BC6"/>
    <w:rsid w:val="389D76B7"/>
    <w:rsid w:val="38B14F10"/>
    <w:rsid w:val="38C22C79"/>
    <w:rsid w:val="38C6347A"/>
    <w:rsid w:val="38C70290"/>
    <w:rsid w:val="38CE5AC2"/>
    <w:rsid w:val="38D62BC9"/>
    <w:rsid w:val="38DE1A7D"/>
    <w:rsid w:val="38E52E0C"/>
    <w:rsid w:val="38EF77E6"/>
    <w:rsid w:val="38FA68B7"/>
    <w:rsid w:val="390A4620"/>
    <w:rsid w:val="391060DB"/>
    <w:rsid w:val="391B4A7F"/>
    <w:rsid w:val="392576AC"/>
    <w:rsid w:val="39273424"/>
    <w:rsid w:val="393B0C7E"/>
    <w:rsid w:val="39423DBA"/>
    <w:rsid w:val="394A2C6F"/>
    <w:rsid w:val="395104A1"/>
    <w:rsid w:val="39671512"/>
    <w:rsid w:val="3971644D"/>
    <w:rsid w:val="397321C6"/>
    <w:rsid w:val="39777F08"/>
    <w:rsid w:val="397A17A6"/>
    <w:rsid w:val="39810D86"/>
    <w:rsid w:val="3986639D"/>
    <w:rsid w:val="399D36E6"/>
    <w:rsid w:val="39A643A6"/>
    <w:rsid w:val="39B50A30"/>
    <w:rsid w:val="39B822CE"/>
    <w:rsid w:val="39C11183"/>
    <w:rsid w:val="39D709A6"/>
    <w:rsid w:val="39E430C3"/>
    <w:rsid w:val="39F23A32"/>
    <w:rsid w:val="39FC040D"/>
    <w:rsid w:val="3A08446F"/>
    <w:rsid w:val="3A085004"/>
    <w:rsid w:val="3A0E0140"/>
    <w:rsid w:val="3A1A0729"/>
    <w:rsid w:val="3A23599A"/>
    <w:rsid w:val="3A267238"/>
    <w:rsid w:val="3A2B2AA0"/>
    <w:rsid w:val="3A30455A"/>
    <w:rsid w:val="3A377697"/>
    <w:rsid w:val="3A40375F"/>
    <w:rsid w:val="3A573895"/>
    <w:rsid w:val="3A6B53FF"/>
    <w:rsid w:val="3A6F5083"/>
    <w:rsid w:val="3A712BA9"/>
    <w:rsid w:val="3A775CE5"/>
    <w:rsid w:val="3A833686"/>
    <w:rsid w:val="3A836438"/>
    <w:rsid w:val="3A850402"/>
    <w:rsid w:val="3A992100"/>
    <w:rsid w:val="3A9E14C4"/>
    <w:rsid w:val="3AA51419"/>
    <w:rsid w:val="3AA82343"/>
    <w:rsid w:val="3AA840F1"/>
    <w:rsid w:val="3AB111F7"/>
    <w:rsid w:val="3AB605BC"/>
    <w:rsid w:val="3ABB2076"/>
    <w:rsid w:val="3ABC7B9C"/>
    <w:rsid w:val="3ABE3914"/>
    <w:rsid w:val="3AC3717D"/>
    <w:rsid w:val="3ACC4283"/>
    <w:rsid w:val="3ACF78CF"/>
    <w:rsid w:val="3AD43138"/>
    <w:rsid w:val="3AD46C94"/>
    <w:rsid w:val="3ADD1FEC"/>
    <w:rsid w:val="3AE231BB"/>
    <w:rsid w:val="3AEF1D20"/>
    <w:rsid w:val="3AF45588"/>
    <w:rsid w:val="3AF61300"/>
    <w:rsid w:val="3AFB2473"/>
    <w:rsid w:val="3B005CDB"/>
    <w:rsid w:val="3B070E17"/>
    <w:rsid w:val="3B082DE1"/>
    <w:rsid w:val="3B0D363F"/>
    <w:rsid w:val="3B0F5F1E"/>
    <w:rsid w:val="3B1479D8"/>
    <w:rsid w:val="3B1E7E12"/>
    <w:rsid w:val="3B2C2F74"/>
    <w:rsid w:val="3B2C6AD0"/>
    <w:rsid w:val="3B316114"/>
    <w:rsid w:val="3B457B92"/>
    <w:rsid w:val="3B497682"/>
    <w:rsid w:val="3B5A188F"/>
    <w:rsid w:val="3B5D3756"/>
    <w:rsid w:val="3B620744"/>
    <w:rsid w:val="3B697D24"/>
    <w:rsid w:val="3B6C15C2"/>
    <w:rsid w:val="3B6D7C51"/>
    <w:rsid w:val="3B7566C9"/>
    <w:rsid w:val="3B7D37CF"/>
    <w:rsid w:val="3B800BCA"/>
    <w:rsid w:val="3B8E1539"/>
    <w:rsid w:val="3B9F54F4"/>
    <w:rsid w:val="3BA7084C"/>
    <w:rsid w:val="3BB371F1"/>
    <w:rsid w:val="3BBE6593"/>
    <w:rsid w:val="3BC82C9D"/>
    <w:rsid w:val="3BCB62E9"/>
    <w:rsid w:val="3BCE402B"/>
    <w:rsid w:val="3BD038FF"/>
    <w:rsid w:val="3BD333EF"/>
    <w:rsid w:val="3BD50F16"/>
    <w:rsid w:val="3BD57167"/>
    <w:rsid w:val="3BDD426E"/>
    <w:rsid w:val="3BE23632"/>
    <w:rsid w:val="3BE55F72"/>
    <w:rsid w:val="3BF770DE"/>
    <w:rsid w:val="3C12216A"/>
    <w:rsid w:val="3C1F4887"/>
    <w:rsid w:val="3C345451"/>
    <w:rsid w:val="3C3F0A85"/>
    <w:rsid w:val="3C410359"/>
    <w:rsid w:val="3C552056"/>
    <w:rsid w:val="3C6A3D54"/>
    <w:rsid w:val="3C720E5A"/>
    <w:rsid w:val="3C756255"/>
    <w:rsid w:val="3C776471"/>
    <w:rsid w:val="3C7B7D0F"/>
    <w:rsid w:val="3C8446EA"/>
    <w:rsid w:val="3C8666B4"/>
    <w:rsid w:val="3C8B5A78"/>
    <w:rsid w:val="3C964B49"/>
    <w:rsid w:val="3C9C5ED7"/>
    <w:rsid w:val="3CAF5C0A"/>
    <w:rsid w:val="3CC3186F"/>
    <w:rsid w:val="3CD13DD3"/>
    <w:rsid w:val="3CD1792F"/>
    <w:rsid w:val="3CDE029E"/>
    <w:rsid w:val="3CE27D8E"/>
    <w:rsid w:val="3CF03B2D"/>
    <w:rsid w:val="3D112421"/>
    <w:rsid w:val="3D162188"/>
    <w:rsid w:val="3D304261"/>
    <w:rsid w:val="3D3250DF"/>
    <w:rsid w:val="3D344362"/>
    <w:rsid w:val="3D3659E4"/>
    <w:rsid w:val="3D3A1978"/>
    <w:rsid w:val="3D540560"/>
    <w:rsid w:val="3D5A0F8B"/>
    <w:rsid w:val="3D6407A3"/>
    <w:rsid w:val="3D711112"/>
    <w:rsid w:val="3D8F3346"/>
    <w:rsid w:val="3D954E00"/>
    <w:rsid w:val="3DBA6615"/>
    <w:rsid w:val="3DD516A1"/>
    <w:rsid w:val="3DE511B8"/>
    <w:rsid w:val="3DED69EA"/>
    <w:rsid w:val="3DF77869"/>
    <w:rsid w:val="3DFC4E7F"/>
    <w:rsid w:val="3E021D6A"/>
    <w:rsid w:val="3E03620E"/>
    <w:rsid w:val="3E1026D9"/>
    <w:rsid w:val="3E133F77"/>
    <w:rsid w:val="3E1F0B55"/>
    <w:rsid w:val="3E2B306F"/>
    <w:rsid w:val="3E2C6DE7"/>
    <w:rsid w:val="3E2D328B"/>
    <w:rsid w:val="3E375EB7"/>
    <w:rsid w:val="3E3A59A8"/>
    <w:rsid w:val="3E3C1720"/>
    <w:rsid w:val="3E43485C"/>
    <w:rsid w:val="3E4405D4"/>
    <w:rsid w:val="3E5E3444"/>
    <w:rsid w:val="3E67734B"/>
    <w:rsid w:val="3E6F16C6"/>
    <w:rsid w:val="3E860BED"/>
    <w:rsid w:val="3E8B2FC1"/>
    <w:rsid w:val="3E927592"/>
    <w:rsid w:val="3E952BDE"/>
    <w:rsid w:val="3E9A01F4"/>
    <w:rsid w:val="3EA3354D"/>
    <w:rsid w:val="3EAB0654"/>
    <w:rsid w:val="3EAB1A1E"/>
    <w:rsid w:val="3EB2553E"/>
    <w:rsid w:val="3EC040FF"/>
    <w:rsid w:val="3EC314F9"/>
    <w:rsid w:val="3ECA2888"/>
    <w:rsid w:val="3ECE6247"/>
    <w:rsid w:val="3ED2798E"/>
    <w:rsid w:val="3EDF3E59"/>
    <w:rsid w:val="3EF913BF"/>
    <w:rsid w:val="3EFC4A0B"/>
    <w:rsid w:val="3F056068"/>
    <w:rsid w:val="3F06588A"/>
    <w:rsid w:val="3F0C10F2"/>
    <w:rsid w:val="3F316DAB"/>
    <w:rsid w:val="3F47037C"/>
    <w:rsid w:val="3F5E1EC2"/>
    <w:rsid w:val="3F634A8A"/>
    <w:rsid w:val="3F740A45"/>
    <w:rsid w:val="3F762A0F"/>
    <w:rsid w:val="3F854A01"/>
    <w:rsid w:val="3F8A0269"/>
    <w:rsid w:val="3F8C2233"/>
    <w:rsid w:val="3F8F3AD1"/>
    <w:rsid w:val="3F927E6F"/>
    <w:rsid w:val="3F9335C1"/>
    <w:rsid w:val="3F95733A"/>
    <w:rsid w:val="3FAA090B"/>
    <w:rsid w:val="3FAA26B9"/>
    <w:rsid w:val="3FB53538"/>
    <w:rsid w:val="3FCC0881"/>
    <w:rsid w:val="3FD85478"/>
    <w:rsid w:val="3FDA11F0"/>
    <w:rsid w:val="3FFF47B3"/>
    <w:rsid w:val="400224F5"/>
    <w:rsid w:val="400611FF"/>
    <w:rsid w:val="401A15ED"/>
    <w:rsid w:val="40204729"/>
    <w:rsid w:val="40271F5C"/>
    <w:rsid w:val="40273D0A"/>
    <w:rsid w:val="40477F08"/>
    <w:rsid w:val="405A5E8D"/>
    <w:rsid w:val="40671540"/>
    <w:rsid w:val="406D3E12"/>
    <w:rsid w:val="40750F19"/>
    <w:rsid w:val="40774C91"/>
    <w:rsid w:val="407927B7"/>
    <w:rsid w:val="407A02DD"/>
    <w:rsid w:val="407A6597"/>
    <w:rsid w:val="407C5E04"/>
    <w:rsid w:val="4093314D"/>
    <w:rsid w:val="40970E8F"/>
    <w:rsid w:val="409749EB"/>
    <w:rsid w:val="40977E33"/>
    <w:rsid w:val="409D1CF0"/>
    <w:rsid w:val="40A37834"/>
    <w:rsid w:val="40A435AC"/>
    <w:rsid w:val="40AF442B"/>
    <w:rsid w:val="40B21825"/>
    <w:rsid w:val="40BE466E"/>
    <w:rsid w:val="40BF3F42"/>
    <w:rsid w:val="40C309FA"/>
    <w:rsid w:val="40C559FD"/>
    <w:rsid w:val="40E63BC5"/>
    <w:rsid w:val="40EF4827"/>
    <w:rsid w:val="40F2256A"/>
    <w:rsid w:val="40F938F8"/>
    <w:rsid w:val="40FC6F44"/>
    <w:rsid w:val="40FE0F0E"/>
    <w:rsid w:val="41171369"/>
    <w:rsid w:val="41171FD0"/>
    <w:rsid w:val="411C75E7"/>
    <w:rsid w:val="412A5860"/>
    <w:rsid w:val="41384420"/>
    <w:rsid w:val="41395AA3"/>
    <w:rsid w:val="41566655"/>
    <w:rsid w:val="415723CD"/>
    <w:rsid w:val="41635215"/>
    <w:rsid w:val="41636FC4"/>
    <w:rsid w:val="41650F8E"/>
    <w:rsid w:val="416845DA"/>
    <w:rsid w:val="41831414"/>
    <w:rsid w:val="418331C2"/>
    <w:rsid w:val="4185518C"/>
    <w:rsid w:val="418C2076"/>
    <w:rsid w:val="41923405"/>
    <w:rsid w:val="419929D9"/>
    <w:rsid w:val="41AA074E"/>
    <w:rsid w:val="41AD023F"/>
    <w:rsid w:val="41BB6E00"/>
    <w:rsid w:val="41BE41FA"/>
    <w:rsid w:val="41C45CB4"/>
    <w:rsid w:val="41C537DA"/>
    <w:rsid w:val="41C76AA2"/>
    <w:rsid w:val="41C9151C"/>
    <w:rsid w:val="41D1217F"/>
    <w:rsid w:val="41DA54D8"/>
    <w:rsid w:val="41DF2AEE"/>
    <w:rsid w:val="41F06AA9"/>
    <w:rsid w:val="42380450"/>
    <w:rsid w:val="42381D17"/>
    <w:rsid w:val="42442951"/>
    <w:rsid w:val="4262727B"/>
    <w:rsid w:val="4269060A"/>
    <w:rsid w:val="426B25D4"/>
    <w:rsid w:val="42703746"/>
    <w:rsid w:val="42722099"/>
    <w:rsid w:val="42733236"/>
    <w:rsid w:val="427F1BDB"/>
    <w:rsid w:val="42890CAC"/>
    <w:rsid w:val="428B4A24"/>
    <w:rsid w:val="428C5620"/>
    <w:rsid w:val="42A47894"/>
    <w:rsid w:val="42A72EE0"/>
    <w:rsid w:val="42C341BE"/>
    <w:rsid w:val="42D55C9F"/>
    <w:rsid w:val="42DF08CC"/>
    <w:rsid w:val="42E3216A"/>
    <w:rsid w:val="42E67EAC"/>
    <w:rsid w:val="42EA799C"/>
    <w:rsid w:val="42EB7271"/>
    <w:rsid w:val="42F36125"/>
    <w:rsid w:val="42FB3958"/>
    <w:rsid w:val="42FB6FC1"/>
    <w:rsid w:val="43000F6E"/>
    <w:rsid w:val="430976F7"/>
    <w:rsid w:val="430B16C1"/>
    <w:rsid w:val="4314053C"/>
    <w:rsid w:val="431762B8"/>
    <w:rsid w:val="43193DDE"/>
    <w:rsid w:val="432A7D99"/>
    <w:rsid w:val="432B58BF"/>
    <w:rsid w:val="432D7889"/>
    <w:rsid w:val="43302ED5"/>
    <w:rsid w:val="43324E9F"/>
    <w:rsid w:val="433A3D54"/>
    <w:rsid w:val="4340580E"/>
    <w:rsid w:val="43503578"/>
    <w:rsid w:val="435B61A4"/>
    <w:rsid w:val="435E7A42"/>
    <w:rsid w:val="43655275"/>
    <w:rsid w:val="43686B13"/>
    <w:rsid w:val="436F39FE"/>
    <w:rsid w:val="437B23A2"/>
    <w:rsid w:val="438374A9"/>
    <w:rsid w:val="43843A68"/>
    <w:rsid w:val="438C45B0"/>
    <w:rsid w:val="438D0328"/>
    <w:rsid w:val="438F5E4E"/>
    <w:rsid w:val="439711A6"/>
    <w:rsid w:val="439B47F3"/>
    <w:rsid w:val="439D67BD"/>
    <w:rsid w:val="43A7763B"/>
    <w:rsid w:val="43B104BA"/>
    <w:rsid w:val="43B81849"/>
    <w:rsid w:val="43BB6C43"/>
    <w:rsid w:val="43BD6E5F"/>
    <w:rsid w:val="43D9356D"/>
    <w:rsid w:val="43E02B4D"/>
    <w:rsid w:val="43E4263E"/>
    <w:rsid w:val="43EA7528"/>
    <w:rsid w:val="44020D16"/>
    <w:rsid w:val="44130D52"/>
    <w:rsid w:val="44150A49"/>
    <w:rsid w:val="44250560"/>
    <w:rsid w:val="44315157"/>
    <w:rsid w:val="44384737"/>
    <w:rsid w:val="443F1622"/>
    <w:rsid w:val="444430DC"/>
    <w:rsid w:val="445A2900"/>
    <w:rsid w:val="445B21D4"/>
    <w:rsid w:val="445D419E"/>
    <w:rsid w:val="445D7CFA"/>
    <w:rsid w:val="44692B43"/>
    <w:rsid w:val="446E1F07"/>
    <w:rsid w:val="44782D86"/>
    <w:rsid w:val="44986F84"/>
    <w:rsid w:val="449F0313"/>
    <w:rsid w:val="44B26298"/>
    <w:rsid w:val="44B57B36"/>
    <w:rsid w:val="44BA339E"/>
    <w:rsid w:val="44BC6AA8"/>
    <w:rsid w:val="44CB735A"/>
    <w:rsid w:val="44D501D8"/>
    <w:rsid w:val="44D53D34"/>
    <w:rsid w:val="44E1092B"/>
    <w:rsid w:val="44EB79FC"/>
    <w:rsid w:val="44F05012"/>
    <w:rsid w:val="44F20D8A"/>
    <w:rsid w:val="45097E82"/>
    <w:rsid w:val="450B2EEB"/>
    <w:rsid w:val="450D1720"/>
    <w:rsid w:val="450E7246"/>
    <w:rsid w:val="45107462"/>
    <w:rsid w:val="45156827"/>
    <w:rsid w:val="45196317"/>
    <w:rsid w:val="453C2005"/>
    <w:rsid w:val="454B3FF6"/>
    <w:rsid w:val="454B768D"/>
    <w:rsid w:val="454C355D"/>
    <w:rsid w:val="454F1D39"/>
    <w:rsid w:val="45570670"/>
    <w:rsid w:val="455C26A8"/>
    <w:rsid w:val="45603F46"/>
    <w:rsid w:val="45611A6C"/>
    <w:rsid w:val="45765517"/>
    <w:rsid w:val="45795008"/>
    <w:rsid w:val="457E261E"/>
    <w:rsid w:val="457E617A"/>
    <w:rsid w:val="45813EBC"/>
    <w:rsid w:val="458614D2"/>
    <w:rsid w:val="458F482B"/>
    <w:rsid w:val="45961716"/>
    <w:rsid w:val="45A02594"/>
    <w:rsid w:val="45A55DFD"/>
    <w:rsid w:val="45B1654F"/>
    <w:rsid w:val="45BE2A1A"/>
    <w:rsid w:val="45C2075D"/>
    <w:rsid w:val="45C53DA9"/>
    <w:rsid w:val="45CB1E22"/>
    <w:rsid w:val="45CC3389"/>
    <w:rsid w:val="45CC5137"/>
    <w:rsid w:val="45D64208"/>
    <w:rsid w:val="45D73ADC"/>
    <w:rsid w:val="45E76415"/>
    <w:rsid w:val="45ED3300"/>
    <w:rsid w:val="460A3EB2"/>
    <w:rsid w:val="460B1E88"/>
    <w:rsid w:val="460F14C8"/>
    <w:rsid w:val="46192347"/>
    <w:rsid w:val="461B1C1B"/>
    <w:rsid w:val="461F5BAF"/>
    <w:rsid w:val="46276812"/>
    <w:rsid w:val="462F5B46"/>
    <w:rsid w:val="463158E2"/>
    <w:rsid w:val="46472A10"/>
    <w:rsid w:val="46492C2C"/>
    <w:rsid w:val="465429F3"/>
    <w:rsid w:val="465758BB"/>
    <w:rsid w:val="46623CEE"/>
    <w:rsid w:val="467001B9"/>
    <w:rsid w:val="4670640B"/>
    <w:rsid w:val="4678706D"/>
    <w:rsid w:val="467F664E"/>
    <w:rsid w:val="46873754"/>
    <w:rsid w:val="469045BC"/>
    <w:rsid w:val="46933EA7"/>
    <w:rsid w:val="46A00372"/>
    <w:rsid w:val="46A2058E"/>
    <w:rsid w:val="46BC33FE"/>
    <w:rsid w:val="46C95B1B"/>
    <w:rsid w:val="46F81F5C"/>
    <w:rsid w:val="470A693E"/>
    <w:rsid w:val="47170634"/>
    <w:rsid w:val="47213261"/>
    <w:rsid w:val="47264120"/>
    <w:rsid w:val="47321912"/>
    <w:rsid w:val="47486A40"/>
    <w:rsid w:val="474B29D4"/>
    <w:rsid w:val="47543636"/>
    <w:rsid w:val="475A2C17"/>
    <w:rsid w:val="475C698F"/>
    <w:rsid w:val="475E2707"/>
    <w:rsid w:val="475E3F77"/>
    <w:rsid w:val="47603F43"/>
    <w:rsid w:val="47615D53"/>
    <w:rsid w:val="477517FF"/>
    <w:rsid w:val="478657BA"/>
    <w:rsid w:val="478A34FC"/>
    <w:rsid w:val="4799729B"/>
    <w:rsid w:val="47AA76FA"/>
    <w:rsid w:val="47B10A89"/>
    <w:rsid w:val="47B24801"/>
    <w:rsid w:val="47B57E4D"/>
    <w:rsid w:val="47C84024"/>
    <w:rsid w:val="47CA1B4A"/>
    <w:rsid w:val="47CC58C3"/>
    <w:rsid w:val="47CF53B3"/>
    <w:rsid w:val="47D41938"/>
    <w:rsid w:val="47D66741"/>
    <w:rsid w:val="47DE73A4"/>
    <w:rsid w:val="47E0136E"/>
    <w:rsid w:val="47E32C0C"/>
    <w:rsid w:val="47E86474"/>
    <w:rsid w:val="47EA7AF7"/>
    <w:rsid w:val="47ED3A8B"/>
    <w:rsid w:val="47F40975"/>
    <w:rsid w:val="47F70466"/>
    <w:rsid w:val="47F832D5"/>
    <w:rsid w:val="47FC782A"/>
    <w:rsid w:val="48036E0A"/>
    <w:rsid w:val="48082673"/>
    <w:rsid w:val="4812529F"/>
    <w:rsid w:val="481728B6"/>
    <w:rsid w:val="481A666F"/>
    <w:rsid w:val="48297FEF"/>
    <w:rsid w:val="482A25E9"/>
    <w:rsid w:val="482A4397"/>
    <w:rsid w:val="48345216"/>
    <w:rsid w:val="483671E0"/>
    <w:rsid w:val="483D2660"/>
    <w:rsid w:val="48515DC8"/>
    <w:rsid w:val="485458B8"/>
    <w:rsid w:val="48653621"/>
    <w:rsid w:val="486677BF"/>
    <w:rsid w:val="487815A6"/>
    <w:rsid w:val="488A3088"/>
    <w:rsid w:val="488E2B78"/>
    <w:rsid w:val="489F7F49"/>
    <w:rsid w:val="48A71E8C"/>
    <w:rsid w:val="48B4470D"/>
    <w:rsid w:val="48C742DC"/>
    <w:rsid w:val="48CC36A0"/>
    <w:rsid w:val="48E24C72"/>
    <w:rsid w:val="48E96000"/>
    <w:rsid w:val="48F0738F"/>
    <w:rsid w:val="48F14EB5"/>
    <w:rsid w:val="48FD1AAC"/>
    <w:rsid w:val="49044BE8"/>
    <w:rsid w:val="490E5A67"/>
    <w:rsid w:val="491237A9"/>
    <w:rsid w:val="49153299"/>
    <w:rsid w:val="492E435B"/>
    <w:rsid w:val="49301E81"/>
    <w:rsid w:val="4933371F"/>
    <w:rsid w:val="49463453"/>
    <w:rsid w:val="494C2CCE"/>
    <w:rsid w:val="495518E8"/>
    <w:rsid w:val="49553696"/>
    <w:rsid w:val="4957740E"/>
    <w:rsid w:val="49592757"/>
    <w:rsid w:val="496E4757"/>
    <w:rsid w:val="497004D0"/>
    <w:rsid w:val="49836455"/>
    <w:rsid w:val="49845D29"/>
    <w:rsid w:val="498521CD"/>
    <w:rsid w:val="498A0BDC"/>
    <w:rsid w:val="498B5309"/>
    <w:rsid w:val="498D2E30"/>
    <w:rsid w:val="499B4A9F"/>
    <w:rsid w:val="499E6DEB"/>
    <w:rsid w:val="49A85EBB"/>
    <w:rsid w:val="49B91E77"/>
    <w:rsid w:val="49BF6D61"/>
    <w:rsid w:val="49C755CF"/>
    <w:rsid w:val="49C83E68"/>
    <w:rsid w:val="49D942C7"/>
    <w:rsid w:val="49D96075"/>
    <w:rsid w:val="49DB003F"/>
    <w:rsid w:val="49F64E79"/>
    <w:rsid w:val="4A056E6A"/>
    <w:rsid w:val="4A176B9D"/>
    <w:rsid w:val="4A266DE0"/>
    <w:rsid w:val="4A3634C7"/>
    <w:rsid w:val="4A396B13"/>
    <w:rsid w:val="4A45370A"/>
    <w:rsid w:val="4A4756D4"/>
    <w:rsid w:val="4A4C4A99"/>
    <w:rsid w:val="4A4F4589"/>
    <w:rsid w:val="4A57522D"/>
    <w:rsid w:val="4A590F64"/>
    <w:rsid w:val="4A633B90"/>
    <w:rsid w:val="4A673681"/>
    <w:rsid w:val="4A842484"/>
    <w:rsid w:val="4A8A55C1"/>
    <w:rsid w:val="4A8A736F"/>
    <w:rsid w:val="4A8C1339"/>
    <w:rsid w:val="4AA11BBF"/>
    <w:rsid w:val="4AA85A47"/>
    <w:rsid w:val="4AA93C99"/>
    <w:rsid w:val="4AAC5537"/>
    <w:rsid w:val="4AB4263E"/>
    <w:rsid w:val="4AC72371"/>
    <w:rsid w:val="4ADF76BB"/>
    <w:rsid w:val="4AE253FD"/>
    <w:rsid w:val="4AE271AB"/>
    <w:rsid w:val="4AE90539"/>
    <w:rsid w:val="4B0C5FD6"/>
    <w:rsid w:val="4B0E61F2"/>
    <w:rsid w:val="4B105AC6"/>
    <w:rsid w:val="4B137364"/>
    <w:rsid w:val="4B1A4B97"/>
    <w:rsid w:val="4B1B26BD"/>
    <w:rsid w:val="4B29302C"/>
    <w:rsid w:val="4B41632B"/>
    <w:rsid w:val="4B4B2FA2"/>
    <w:rsid w:val="4B683B54"/>
    <w:rsid w:val="4B6D116B"/>
    <w:rsid w:val="4B7C13AE"/>
    <w:rsid w:val="4B8169C4"/>
    <w:rsid w:val="4B971D44"/>
    <w:rsid w:val="4BAD5A0B"/>
    <w:rsid w:val="4BBF129A"/>
    <w:rsid w:val="4BC65BF7"/>
    <w:rsid w:val="4BCA0873"/>
    <w:rsid w:val="4BCC585A"/>
    <w:rsid w:val="4BD74836"/>
    <w:rsid w:val="4BD96800"/>
    <w:rsid w:val="4BDE7972"/>
    <w:rsid w:val="4BDF193C"/>
    <w:rsid w:val="4BE13907"/>
    <w:rsid w:val="4BE17463"/>
    <w:rsid w:val="4BE40D01"/>
    <w:rsid w:val="4BEA7E5D"/>
    <w:rsid w:val="4BEB02E1"/>
    <w:rsid w:val="4BF23ACD"/>
    <w:rsid w:val="4C0513A3"/>
    <w:rsid w:val="4C1C049B"/>
    <w:rsid w:val="4C2D08FA"/>
    <w:rsid w:val="4C2D4456"/>
    <w:rsid w:val="4C3B3017"/>
    <w:rsid w:val="4C404189"/>
    <w:rsid w:val="4C453E95"/>
    <w:rsid w:val="4C4719BC"/>
    <w:rsid w:val="4C481290"/>
    <w:rsid w:val="4C5440D8"/>
    <w:rsid w:val="4C5D11DF"/>
    <w:rsid w:val="4C7402D7"/>
    <w:rsid w:val="4C7C3456"/>
    <w:rsid w:val="4C7C718B"/>
    <w:rsid w:val="4C820C46"/>
    <w:rsid w:val="4C883D82"/>
    <w:rsid w:val="4C8A5D4C"/>
    <w:rsid w:val="4C982217"/>
    <w:rsid w:val="4CA706AC"/>
    <w:rsid w:val="4CB608EF"/>
    <w:rsid w:val="4CCE3E8B"/>
    <w:rsid w:val="4CD3324F"/>
    <w:rsid w:val="4CD34FFD"/>
    <w:rsid w:val="4CD40D75"/>
    <w:rsid w:val="4CDB386A"/>
    <w:rsid w:val="4CDD5E7C"/>
    <w:rsid w:val="4CF431C6"/>
    <w:rsid w:val="4D0619FF"/>
    <w:rsid w:val="4D0745D0"/>
    <w:rsid w:val="4D111FCA"/>
    <w:rsid w:val="4D1675E0"/>
    <w:rsid w:val="4D1D271C"/>
    <w:rsid w:val="4D2717ED"/>
    <w:rsid w:val="4D2E66D8"/>
    <w:rsid w:val="4D3161C8"/>
    <w:rsid w:val="4D550108"/>
    <w:rsid w:val="4D5D394F"/>
    <w:rsid w:val="4D6640C3"/>
    <w:rsid w:val="4D7B7443"/>
    <w:rsid w:val="4D810EFD"/>
    <w:rsid w:val="4D844549"/>
    <w:rsid w:val="4D887CA5"/>
    <w:rsid w:val="4D896004"/>
    <w:rsid w:val="4D9C5D37"/>
    <w:rsid w:val="4DA81276"/>
    <w:rsid w:val="4DAB41CC"/>
    <w:rsid w:val="4DB56DF9"/>
    <w:rsid w:val="4DBA440F"/>
    <w:rsid w:val="4DC1579E"/>
    <w:rsid w:val="4DC62DB4"/>
    <w:rsid w:val="4DCB2178"/>
    <w:rsid w:val="4DD252B5"/>
    <w:rsid w:val="4DD92AE7"/>
    <w:rsid w:val="4DE1374A"/>
    <w:rsid w:val="4DE17BEE"/>
    <w:rsid w:val="4DE60D60"/>
    <w:rsid w:val="4DEA4CF4"/>
    <w:rsid w:val="4DF53699"/>
    <w:rsid w:val="4DF74D1B"/>
    <w:rsid w:val="4DFF0074"/>
    <w:rsid w:val="4E0F02B7"/>
    <w:rsid w:val="4E1F4272"/>
    <w:rsid w:val="4E231FB4"/>
    <w:rsid w:val="4E2D2E33"/>
    <w:rsid w:val="4E2E0D6F"/>
    <w:rsid w:val="4E3221F7"/>
    <w:rsid w:val="4E404914"/>
    <w:rsid w:val="4E465CA3"/>
    <w:rsid w:val="4E6C5709"/>
    <w:rsid w:val="4E802F63"/>
    <w:rsid w:val="4E807407"/>
    <w:rsid w:val="4E964534"/>
    <w:rsid w:val="4E9E163B"/>
    <w:rsid w:val="4EB26665"/>
    <w:rsid w:val="4EB66985"/>
    <w:rsid w:val="4EC54E1A"/>
    <w:rsid w:val="4ECA2430"/>
    <w:rsid w:val="4EE07773"/>
    <w:rsid w:val="4EE334F2"/>
    <w:rsid w:val="4EE74D90"/>
    <w:rsid w:val="4EEE25C2"/>
    <w:rsid w:val="4EF43951"/>
    <w:rsid w:val="4EF456FF"/>
    <w:rsid w:val="4EF474AD"/>
    <w:rsid w:val="4EFB083B"/>
    <w:rsid w:val="4F027E1C"/>
    <w:rsid w:val="4F0D65A2"/>
    <w:rsid w:val="4F1C423B"/>
    <w:rsid w:val="4F242FC9"/>
    <w:rsid w:val="4F330F2F"/>
    <w:rsid w:val="4F343D4D"/>
    <w:rsid w:val="4F381A8F"/>
    <w:rsid w:val="4F3B1580"/>
    <w:rsid w:val="4F3D0E54"/>
    <w:rsid w:val="4F55619D"/>
    <w:rsid w:val="4F5A1A06"/>
    <w:rsid w:val="4F5D32A4"/>
    <w:rsid w:val="4F630850"/>
    <w:rsid w:val="4F652159"/>
    <w:rsid w:val="4F6B3C13"/>
    <w:rsid w:val="4F710AFD"/>
    <w:rsid w:val="4F732AC8"/>
    <w:rsid w:val="4F754A92"/>
    <w:rsid w:val="4F7C5E20"/>
    <w:rsid w:val="4F84611B"/>
    <w:rsid w:val="4F8D1E55"/>
    <w:rsid w:val="4F90367A"/>
    <w:rsid w:val="4F974A08"/>
    <w:rsid w:val="4F9A0054"/>
    <w:rsid w:val="4FA964E9"/>
    <w:rsid w:val="4FB07878"/>
    <w:rsid w:val="4FBE01E7"/>
    <w:rsid w:val="4FDF63AF"/>
    <w:rsid w:val="4FEB08B0"/>
    <w:rsid w:val="4FF52BAA"/>
    <w:rsid w:val="4FF534DD"/>
    <w:rsid w:val="4FF754A7"/>
    <w:rsid w:val="500656EA"/>
    <w:rsid w:val="50081462"/>
    <w:rsid w:val="500D4CCA"/>
    <w:rsid w:val="50285660"/>
    <w:rsid w:val="503A35E5"/>
    <w:rsid w:val="50485D02"/>
    <w:rsid w:val="50513E30"/>
    <w:rsid w:val="50642410"/>
    <w:rsid w:val="50681F00"/>
    <w:rsid w:val="50722D7F"/>
    <w:rsid w:val="507408A5"/>
    <w:rsid w:val="50746AF7"/>
    <w:rsid w:val="509251CF"/>
    <w:rsid w:val="50A05B3E"/>
    <w:rsid w:val="50B27620"/>
    <w:rsid w:val="50B82E88"/>
    <w:rsid w:val="50CD6207"/>
    <w:rsid w:val="50D21A70"/>
    <w:rsid w:val="50D37CC2"/>
    <w:rsid w:val="50D47596"/>
    <w:rsid w:val="50E517A3"/>
    <w:rsid w:val="50E7376D"/>
    <w:rsid w:val="50EA0B67"/>
    <w:rsid w:val="50FE23F8"/>
    <w:rsid w:val="51051E45"/>
    <w:rsid w:val="510A120A"/>
    <w:rsid w:val="51115C9D"/>
    <w:rsid w:val="5116195C"/>
    <w:rsid w:val="511D0F3D"/>
    <w:rsid w:val="51285577"/>
    <w:rsid w:val="51324FD6"/>
    <w:rsid w:val="513870EA"/>
    <w:rsid w:val="513D338D"/>
    <w:rsid w:val="51450494"/>
    <w:rsid w:val="514A7858"/>
    <w:rsid w:val="5153670D"/>
    <w:rsid w:val="515516D0"/>
    <w:rsid w:val="515A0ECD"/>
    <w:rsid w:val="515E5734"/>
    <w:rsid w:val="516923D4"/>
    <w:rsid w:val="517A638F"/>
    <w:rsid w:val="51850890"/>
    <w:rsid w:val="519136D9"/>
    <w:rsid w:val="519A2DB6"/>
    <w:rsid w:val="51A451BA"/>
    <w:rsid w:val="51AA02F7"/>
    <w:rsid w:val="51B3364F"/>
    <w:rsid w:val="51B353FD"/>
    <w:rsid w:val="51B722DE"/>
    <w:rsid w:val="51BF3DA2"/>
    <w:rsid w:val="51C55131"/>
    <w:rsid w:val="51CB2747"/>
    <w:rsid w:val="51CC64BF"/>
    <w:rsid w:val="51DD06CC"/>
    <w:rsid w:val="51E67581"/>
    <w:rsid w:val="51EE28D9"/>
    <w:rsid w:val="51F7178E"/>
    <w:rsid w:val="520E4D2A"/>
    <w:rsid w:val="520E6AD8"/>
    <w:rsid w:val="520F2308"/>
    <w:rsid w:val="522D1654"/>
    <w:rsid w:val="52320A18"/>
    <w:rsid w:val="523A167B"/>
    <w:rsid w:val="523D116B"/>
    <w:rsid w:val="52481FEA"/>
    <w:rsid w:val="5253273C"/>
    <w:rsid w:val="527B23BF"/>
    <w:rsid w:val="52862B12"/>
    <w:rsid w:val="528A2602"/>
    <w:rsid w:val="528D1E8A"/>
    <w:rsid w:val="52AF2069"/>
    <w:rsid w:val="52B94C95"/>
    <w:rsid w:val="52C8312A"/>
    <w:rsid w:val="52EB2F94"/>
    <w:rsid w:val="52ED2B91"/>
    <w:rsid w:val="52ED75F8"/>
    <w:rsid w:val="52FB3500"/>
    <w:rsid w:val="5302663C"/>
    <w:rsid w:val="53081779"/>
    <w:rsid w:val="53095C1D"/>
    <w:rsid w:val="53202F66"/>
    <w:rsid w:val="53204D14"/>
    <w:rsid w:val="532365B3"/>
    <w:rsid w:val="532540D9"/>
    <w:rsid w:val="533607EF"/>
    <w:rsid w:val="53560736"/>
    <w:rsid w:val="53682217"/>
    <w:rsid w:val="536966BB"/>
    <w:rsid w:val="536C7F5A"/>
    <w:rsid w:val="53982AFD"/>
    <w:rsid w:val="539F3E8B"/>
    <w:rsid w:val="53B67427"/>
    <w:rsid w:val="53BD6A07"/>
    <w:rsid w:val="53C25DCC"/>
    <w:rsid w:val="53C71634"/>
    <w:rsid w:val="53C90F08"/>
    <w:rsid w:val="53CB0622"/>
    <w:rsid w:val="53D0673A"/>
    <w:rsid w:val="53D63625"/>
    <w:rsid w:val="53E2021C"/>
    <w:rsid w:val="53F35F85"/>
    <w:rsid w:val="53F57F4F"/>
    <w:rsid w:val="53FA5565"/>
    <w:rsid w:val="54040192"/>
    <w:rsid w:val="54120B01"/>
    <w:rsid w:val="54176117"/>
    <w:rsid w:val="54336CC9"/>
    <w:rsid w:val="54372316"/>
    <w:rsid w:val="544467E1"/>
    <w:rsid w:val="545C3B2A"/>
    <w:rsid w:val="546D21DB"/>
    <w:rsid w:val="547277F2"/>
    <w:rsid w:val="5479570C"/>
    <w:rsid w:val="54866DF9"/>
    <w:rsid w:val="54877909"/>
    <w:rsid w:val="54882B71"/>
    <w:rsid w:val="5488491F"/>
    <w:rsid w:val="548C6308"/>
    <w:rsid w:val="548D19E4"/>
    <w:rsid w:val="548E5CAE"/>
    <w:rsid w:val="54B3305B"/>
    <w:rsid w:val="54B73456"/>
    <w:rsid w:val="54BB2F47"/>
    <w:rsid w:val="54C3004D"/>
    <w:rsid w:val="54C33BA9"/>
    <w:rsid w:val="54D1276A"/>
    <w:rsid w:val="54D45DB6"/>
    <w:rsid w:val="54EB459D"/>
    <w:rsid w:val="54F71AA5"/>
    <w:rsid w:val="54FA3343"/>
    <w:rsid w:val="5505092F"/>
    <w:rsid w:val="550611A5"/>
    <w:rsid w:val="55110DB9"/>
    <w:rsid w:val="55124B31"/>
    <w:rsid w:val="551B6EBD"/>
    <w:rsid w:val="55216B22"/>
    <w:rsid w:val="553625CD"/>
    <w:rsid w:val="553E76D4"/>
    <w:rsid w:val="554C1DF1"/>
    <w:rsid w:val="555E38D2"/>
    <w:rsid w:val="55621614"/>
    <w:rsid w:val="55627866"/>
    <w:rsid w:val="5568264E"/>
    <w:rsid w:val="556A04C9"/>
    <w:rsid w:val="55703D2B"/>
    <w:rsid w:val="55781BE5"/>
    <w:rsid w:val="55855303"/>
    <w:rsid w:val="5590774E"/>
    <w:rsid w:val="559A7000"/>
    <w:rsid w:val="55AA4D69"/>
    <w:rsid w:val="55E4027B"/>
    <w:rsid w:val="55E95892"/>
    <w:rsid w:val="55F06C20"/>
    <w:rsid w:val="55F935FB"/>
    <w:rsid w:val="56073F6A"/>
    <w:rsid w:val="56150435"/>
    <w:rsid w:val="561A1EEF"/>
    <w:rsid w:val="564231F4"/>
    <w:rsid w:val="565C2507"/>
    <w:rsid w:val="565F5B54"/>
    <w:rsid w:val="56666EE2"/>
    <w:rsid w:val="566969D2"/>
    <w:rsid w:val="566B62A7"/>
    <w:rsid w:val="567535C9"/>
    <w:rsid w:val="567F1D52"/>
    <w:rsid w:val="568F468B"/>
    <w:rsid w:val="569C2904"/>
    <w:rsid w:val="56AB2B47"/>
    <w:rsid w:val="56B23ED5"/>
    <w:rsid w:val="56B440F1"/>
    <w:rsid w:val="56B934B6"/>
    <w:rsid w:val="56C116C4"/>
    <w:rsid w:val="56C9121F"/>
    <w:rsid w:val="56D025AE"/>
    <w:rsid w:val="56E101E0"/>
    <w:rsid w:val="5702085E"/>
    <w:rsid w:val="57064221"/>
    <w:rsid w:val="571A1A7B"/>
    <w:rsid w:val="57233025"/>
    <w:rsid w:val="57284198"/>
    <w:rsid w:val="572B3C93"/>
    <w:rsid w:val="572E6627"/>
    <w:rsid w:val="572F5526"/>
    <w:rsid w:val="574D00A2"/>
    <w:rsid w:val="574F3E1A"/>
    <w:rsid w:val="57552E22"/>
    <w:rsid w:val="57631674"/>
    <w:rsid w:val="576D24F2"/>
    <w:rsid w:val="577202EA"/>
    <w:rsid w:val="577D0987"/>
    <w:rsid w:val="577E64AD"/>
    <w:rsid w:val="578C2978"/>
    <w:rsid w:val="579007C5"/>
    <w:rsid w:val="579B2BBB"/>
    <w:rsid w:val="579B705F"/>
    <w:rsid w:val="57A51C8C"/>
    <w:rsid w:val="57A63600"/>
    <w:rsid w:val="57A71560"/>
    <w:rsid w:val="57A9177C"/>
    <w:rsid w:val="57AC6B77"/>
    <w:rsid w:val="57B343A9"/>
    <w:rsid w:val="57B819BF"/>
    <w:rsid w:val="57BB14B0"/>
    <w:rsid w:val="57C02622"/>
    <w:rsid w:val="57D305A7"/>
    <w:rsid w:val="57D367F9"/>
    <w:rsid w:val="57DF13CA"/>
    <w:rsid w:val="58093FC9"/>
    <w:rsid w:val="58117322"/>
    <w:rsid w:val="5814471C"/>
    <w:rsid w:val="581A4428"/>
    <w:rsid w:val="581B1F4E"/>
    <w:rsid w:val="581F559B"/>
    <w:rsid w:val="58262DCD"/>
    <w:rsid w:val="582C5F09"/>
    <w:rsid w:val="58310C72"/>
    <w:rsid w:val="583C439E"/>
    <w:rsid w:val="58472D43"/>
    <w:rsid w:val="58555460"/>
    <w:rsid w:val="58584F50"/>
    <w:rsid w:val="585A65D3"/>
    <w:rsid w:val="5870229A"/>
    <w:rsid w:val="58801DB1"/>
    <w:rsid w:val="588B70D4"/>
    <w:rsid w:val="589046EA"/>
    <w:rsid w:val="58A43CF2"/>
    <w:rsid w:val="58BD3F7F"/>
    <w:rsid w:val="58C47EF0"/>
    <w:rsid w:val="58C61EBA"/>
    <w:rsid w:val="58D354A2"/>
    <w:rsid w:val="58D36385"/>
    <w:rsid w:val="58DA3BB7"/>
    <w:rsid w:val="58F92290"/>
    <w:rsid w:val="59050C34"/>
    <w:rsid w:val="59154BEF"/>
    <w:rsid w:val="5915699E"/>
    <w:rsid w:val="59170968"/>
    <w:rsid w:val="59172716"/>
    <w:rsid w:val="591A3FB4"/>
    <w:rsid w:val="591C5F7E"/>
    <w:rsid w:val="591F2853"/>
    <w:rsid w:val="59246BE1"/>
    <w:rsid w:val="592866D1"/>
    <w:rsid w:val="5937781B"/>
    <w:rsid w:val="595079D6"/>
    <w:rsid w:val="595A5DFA"/>
    <w:rsid w:val="595C45CC"/>
    <w:rsid w:val="595E0345"/>
    <w:rsid w:val="596C6317"/>
    <w:rsid w:val="596F5B08"/>
    <w:rsid w:val="59701E26"/>
    <w:rsid w:val="59705BAE"/>
    <w:rsid w:val="59777658"/>
    <w:rsid w:val="59814033"/>
    <w:rsid w:val="59815DE1"/>
    <w:rsid w:val="598558D1"/>
    <w:rsid w:val="599A6D2D"/>
    <w:rsid w:val="59BC506B"/>
    <w:rsid w:val="59CC3500"/>
    <w:rsid w:val="59D14FBA"/>
    <w:rsid w:val="59D95C1D"/>
    <w:rsid w:val="59DD395F"/>
    <w:rsid w:val="59E36A9C"/>
    <w:rsid w:val="59EA1BD8"/>
    <w:rsid w:val="59F34F31"/>
    <w:rsid w:val="59FD5DAF"/>
    <w:rsid w:val="5A04713E"/>
    <w:rsid w:val="5A0507C0"/>
    <w:rsid w:val="5A144EA7"/>
    <w:rsid w:val="5A201A9E"/>
    <w:rsid w:val="5A225816"/>
    <w:rsid w:val="5A276988"/>
    <w:rsid w:val="5A2F3A8F"/>
    <w:rsid w:val="5A3D43FE"/>
    <w:rsid w:val="5A4237C2"/>
    <w:rsid w:val="5A4B6B1B"/>
    <w:rsid w:val="5A5B4884"/>
    <w:rsid w:val="5A5D05FC"/>
    <w:rsid w:val="5A5F25C6"/>
    <w:rsid w:val="5A601E9A"/>
    <w:rsid w:val="5A690D4F"/>
    <w:rsid w:val="5A7B6CD4"/>
    <w:rsid w:val="5A7F67C4"/>
    <w:rsid w:val="5AA601F5"/>
    <w:rsid w:val="5AB3646E"/>
    <w:rsid w:val="5AB47014"/>
    <w:rsid w:val="5AB50438"/>
    <w:rsid w:val="5AC16DDD"/>
    <w:rsid w:val="5AE20B01"/>
    <w:rsid w:val="5AE40D1D"/>
    <w:rsid w:val="5AF01470"/>
    <w:rsid w:val="5AF34ABD"/>
    <w:rsid w:val="5AFC6067"/>
    <w:rsid w:val="5AFD593B"/>
    <w:rsid w:val="5B060C94"/>
    <w:rsid w:val="5B062A42"/>
    <w:rsid w:val="5B09401F"/>
    <w:rsid w:val="5B0B62AA"/>
    <w:rsid w:val="5B0D2022"/>
    <w:rsid w:val="5B150ED7"/>
    <w:rsid w:val="5B1769FD"/>
    <w:rsid w:val="5B1D1B6B"/>
    <w:rsid w:val="5B1E422F"/>
    <w:rsid w:val="5B2F1F99"/>
    <w:rsid w:val="5B307ABF"/>
    <w:rsid w:val="5B33135D"/>
    <w:rsid w:val="5B392E17"/>
    <w:rsid w:val="5B3E042E"/>
    <w:rsid w:val="5B3E21DC"/>
    <w:rsid w:val="5B445318"/>
    <w:rsid w:val="5B5F2152"/>
    <w:rsid w:val="5B637E94"/>
    <w:rsid w:val="5B922527"/>
    <w:rsid w:val="5B9D4491"/>
    <w:rsid w:val="5BA65FD3"/>
    <w:rsid w:val="5BA74225"/>
    <w:rsid w:val="5BA87F9D"/>
    <w:rsid w:val="5BB12307"/>
    <w:rsid w:val="5BB701E0"/>
    <w:rsid w:val="5BBB65CE"/>
    <w:rsid w:val="5BD0475B"/>
    <w:rsid w:val="5BD7618C"/>
    <w:rsid w:val="5BD82630"/>
    <w:rsid w:val="5BDE5CD8"/>
    <w:rsid w:val="5BE34B31"/>
    <w:rsid w:val="5BE71E0B"/>
    <w:rsid w:val="5BEF1728"/>
    <w:rsid w:val="5BFB5692"/>
    <w:rsid w:val="5C013209"/>
    <w:rsid w:val="5C0E6052"/>
    <w:rsid w:val="5C0F5926"/>
    <w:rsid w:val="5C1967A5"/>
    <w:rsid w:val="5C2A6A63"/>
    <w:rsid w:val="5C480E38"/>
    <w:rsid w:val="5C5B6DBD"/>
    <w:rsid w:val="5C602626"/>
    <w:rsid w:val="5C62014C"/>
    <w:rsid w:val="5C62639E"/>
    <w:rsid w:val="5C6C0FCA"/>
    <w:rsid w:val="5C6F4617"/>
    <w:rsid w:val="5C7165E1"/>
    <w:rsid w:val="5C756F80"/>
    <w:rsid w:val="5C761E49"/>
    <w:rsid w:val="5C78796F"/>
    <w:rsid w:val="5C7D4F86"/>
    <w:rsid w:val="5C7F2AAC"/>
    <w:rsid w:val="5C86208C"/>
    <w:rsid w:val="5CA83399"/>
    <w:rsid w:val="5CB14C2F"/>
    <w:rsid w:val="5CB309A7"/>
    <w:rsid w:val="5CD120DA"/>
    <w:rsid w:val="5CE13766"/>
    <w:rsid w:val="5CE24DE9"/>
    <w:rsid w:val="5CE943C9"/>
    <w:rsid w:val="5CF05758"/>
    <w:rsid w:val="5CFD1C22"/>
    <w:rsid w:val="5D094A6B"/>
    <w:rsid w:val="5D1551BE"/>
    <w:rsid w:val="5D196F6B"/>
    <w:rsid w:val="5D1A27D4"/>
    <w:rsid w:val="5D2018C7"/>
    <w:rsid w:val="5D323FC2"/>
    <w:rsid w:val="5D3C099D"/>
    <w:rsid w:val="5D445AA3"/>
    <w:rsid w:val="5D5061F6"/>
    <w:rsid w:val="5D5E0913"/>
    <w:rsid w:val="5D5F28DD"/>
    <w:rsid w:val="5D6B74D4"/>
    <w:rsid w:val="5D7F1C5E"/>
    <w:rsid w:val="5D9E1657"/>
    <w:rsid w:val="5DA327CA"/>
    <w:rsid w:val="5DBA5E4F"/>
    <w:rsid w:val="5DBC1ADE"/>
    <w:rsid w:val="5DBF25DA"/>
    <w:rsid w:val="5DCA5FA9"/>
    <w:rsid w:val="5DE057CC"/>
    <w:rsid w:val="5DE3706A"/>
    <w:rsid w:val="5DEC23C3"/>
    <w:rsid w:val="5DEF1EB3"/>
    <w:rsid w:val="5DFE20F6"/>
    <w:rsid w:val="5E0C65C1"/>
    <w:rsid w:val="5E0E058B"/>
    <w:rsid w:val="5E111E29"/>
    <w:rsid w:val="5E203E1A"/>
    <w:rsid w:val="5E231B5D"/>
    <w:rsid w:val="5E27164D"/>
    <w:rsid w:val="5E345B18"/>
    <w:rsid w:val="5E391380"/>
    <w:rsid w:val="5E3B0C54"/>
    <w:rsid w:val="5E421FE3"/>
    <w:rsid w:val="5E7755FE"/>
    <w:rsid w:val="5E781EA8"/>
    <w:rsid w:val="5E8D5D76"/>
    <w:rsid w:val="5E916AC6"/>
    <w:rsid w:val="5E993BCD"/>
    <w:rsid w:val="5E9A1E1F"/>
    <w:rsid w:val="5EAA5DDA"/>
    <w:rsid w:val="5EAA7B88"/>
    <w:rsid w:val="5EB36A3D"/>
    <w:rsid w:val="5EB6477F"/>
    <w:rsid w:val="5EB6652D"/>
    <w:rsid w:val="5EC155FD"/>
    <w:rsid w:val="5EC40C4A"/>
    <w:rsid w:val="5ECC3D6F"/>
    <w:rsid w:val="5EDD61AF"/>
    <w:rsid w:val="5EE50BC0"/>
    <w:rsid w:val="5EE906B0"/>
    <w:rsid w:val="5EF05EE3"/>
    <w:rsid w:val="5EFB03E4"/>
    <w:rsid w:val="5F042A70"/>
    <w:rsid w:val="5F0674B4"/>
    <w:rsid w:val="5F13397F"/>
    <w:rsid w:val="5F13572D"/>
    <w:rsid w:val="5F1A2F60"/>
    <w:rsid w:val="5F1D65AC"/>
    <w:rsid w:val="5F1F2324"/>
    <w:rsid w:val="5F265461"/>
    <w:rsid w:val="5F2D2C93"/>
    <w:rsid w:val="5F487ACD"/>
    <w:rsid w:val="5F57386C"/>
    <w:rsid w:val="5F592F3F"/>
    <w:rsid w:val="5F5D4BFA"/>
    <w:rsid w:val="5F5F6BC4"/>
    <w:rsid w:val="5F622211"/>
    <w:rsid w:val="5F6B5569"/>
    <w:rsid w:val="5F85487D"/>
    <w:rsid w:val="5F8B79B9"/>
    <w:rsid w:val="5F93686E"/>
    <w:rsid w:val="5FA62A45"/>
    <w:rsid w:val="5FAB005C"/>
    <w:rsid w:val="5FAF18FA"/>
    <w:rsid w:val="5FB54A36"/>
    <w:rsid w:val="5FC1162D"/>
    <w:rsid w:val="5FD50C35"/>
    <w:rsid w:val="5FD749AD"/>
    <w:rsid w:val="5FDB26EF"/>
    <w:rsid w:val="5FDE21DF"/>
    <w:rsid w:val="5FE07D05"/>
    <w:rsid w:val="5FE3406D"/>
    <w:rsid w:val="5FED41D0"/>
    <w:rsid w:val="5FFE462F"/>
    <w:rsid w:val="600B4656"/>
    <w:rsid w:val="60123C37"/>
    <w:rsid w:val="60163727"/>
    <w:rsid w:val="602A5424"/>
    <w:rsid w:val="60341DFF"/>
    <w:rsid w:val="60367925"/>
    <w:rsid w:val="60681AA9"/>
    <w:rsid w:val="60830691"/>
    <w:rsid w:val="608C1C3B"/>
    <w:rsid w:val="609E54CA"/>
    <w:rsid w:val="60CC64DC"/>
    <w:rsid w:val="60CE7F5D"/>
    <w:rsid w:val="60DD5FF3"/>
    <w:rsid w:val="60F03F78"/>
    <w:rsid w:val="60FC250F"/>
    <w:rsid w:val="61001CE1"/>
    <w:rsid w:val="610619ED"/>
    <w:rsid w:val="61137C66"/>
    <w:rsid w:val="61181721"/>
    <w:rsid w:val="612260FC"/>
    <w:rsid w:val="612400C6"/>
    <w:rsid w:val="61371BA7"/>
    <w:rsid w:val="6138591F"/>
    <w:rsid w:val="6139340F"/>
    <w:rsid w:val="613C540F"/>
    <w:rsid w:val="61502C69"/>
    <w:rsid w:val="6151078F"/>
    <w:rsid w:val="615269E1"/>
    <w:rsid w:val="615D5386"/>
    <w:rsid w:val="615E35D8"/>
    <w:rsid w:val="616109D2"/>
    <w:rsid w:val="6162474A"/>
    <w:rsid w:val="6166248C"/>
    <w:rsid w:val="61677FB2"/>
    <w:rsid w:val="61873BB7"/>
    <w:rsid w:val="61907509"/>
    <w:rsid w:val="61970898"/>
    <w:rsid w:val="619D39D4"/>
    <w:rsid w:val="61BF1B9C"/>
    <w:rsid w:val="61BF7DEE"/>
    <w:rsid w:val="61CD250B"/>
    <w:rsid w:val="61D373F6"/>
    <w:rsid w:val="62015D11"/>
    <w:rsid w:val="62233ED9"/>
    <w:rsid w:val="622A34BA"/>
    <w:rsid w:val="622D4D58"/>
    <w:rsid w:val="623460E6"/>
    <w:rsid w:val="62375BD7"/>
    <w:rsid w:val="62500A46"/>
    <w:rsid w:val="625B3673"/>
    <w:rsid w:val="62726C0F"/>
    <w:rsid w:val="62770698"/>
    <w:rsid w:val="62774225"/>
    <w:rsid w:val="628030DA"/>
    <w:rsid w:val="6280757E"/>
    <w:rsid w:val="628250A4"/>
    <w:rsid w:val="62830E1C"/>
    <w:rsid w:val="62966DA1"/>
    <w:rsid w:val="62A3326C"/>
    <w:rsid w:val="62B114E5"/>
    <w:rsid w:val="62B72874"/>
    <w:rsid w:val="62C21944"/>
    <w:rsid w:val="62C84A81"/>
    <w:rsid w:val="62CC4571"/>
    <w:rsid w:val="62D022B3"/>
    <w:rsid w:val="62D7000D"/>
    <w:rsid w:val="62DA4EE0"/>
    <w:rsid w:val="62DD22DA"/>
    <w:rsid w:val="62E33669"/>
    <w:rsid w:val="62E42611"/>
    <w:rsid w:val="62F0720C"/>
    <w:rsid w:val="62FE5D89"/>
    <w:rsid w:val="630261E5"/>
    <w:rsid w:val="631101D6"/>
    <w:rsid w:val="631657EC"/>
    <w:rsid w:val="63212B0F"/>
    <w:rsid w:val="632223E3"/>
    <w:rsid w:val="632717A7"/>
    <w:rsid w:val="632B74E9"/>
    <w:rsid w:val="633640E0"/>
    <w:rsid w:val="633D721D"/>
    <w:rsid w:val="63407FE3"/>
    <w:rsid w:val="634265E1"/>
    <w:rsid w:val="634560D1"/>
    <w:rsid w:val="63536A40"/>
    <w:rsid w:val="635F53E5"/>
    <w:rsid w:val="636058E5"/>
    <w:rsid w:val="638210D3"/>
    <w:rsid w:val="6384309D"/>
    <w:rsid w:val="63894248"/>
    <w:rsid w:val="638E1826"/>
    <w:rsid w:val="63950E07"/>
    <w:rsid w:val="639D5F0D"/>
    <w:rsid w:val="639F57E1"/>
    <w:rsid w:val="63A86D8C"/>
    <w:rsid w:val="63C139AA"/>
    <w:rsid w:val="63C22C9D"/>
    <w:rsid w:val="63C416EC"/>
    <w:rsid w:val="63D23E09"/>
    <w:rsid w:val="63D731CD"/>
    <w:rsid w:val="63DE27AE"/>
    <w:rsid w:val="63DF02D4"/>
    <w:rsid w:val="63E1404C"/>
    <w:rsid w:val="63ED479F"/>
    <w:rsid w:val="640146EE"/>
    <w:rsid w:val="64055F8C"/>
    <w:rsid w:val="641206A9"/>
    <w:rsid w:val="641B24FC"/>
    <w:rsid w:val="641B57B0"/>
    <w:rsid w:val="641E704E"/>
    <w:rsid w:val="64236413"/>
    <w:rsid w:val="642B176B"/>
    <w:rsid w:val="64314722"/>
    <w:rsid w:val="64371EBE"/>
    <w:rsid w:val="64414AEB"/>
    <w:rsid w:val="644545DB"/>
    <w:rsid w:val="645464E1"/>
    <w:rsid w:val="6457430E"/>
    <w:rsid w:val="645E569D"/>
    <w:rsid w:val="6463130D"/>
    <w:rsid w:val="646802C9"/>
    <w:rsid w:val="648D5F82"/>
    <w:rsid w:val="648F3AA8"/>
    <w:rsid w:val="64975011"/>
    <w:rsid w:val="64992B79"/>
    <w:rsid w:val="64A357A5"/>
    <w:rsid w:val="64A37553"/>
    <w:rsid w:val="64B17EC2"/>
    <w:rsid w:val="64B67287"/>
    <w:rsid w:val="64C37BF6"/>
    <w:rsid w:val="64CC6AAA"/>
    <w:rsid w:val="64CD45D0"/>
    <w:rsid w:val="64D27AC2"/>
    <w:rsid w:val="64D67929"/>
    <w:rsid w:val="64DE058B"/>
    <w:rsid w:val="64EE6A20"/>
    <w:rsid w:val="64F85A59"/>
    <w:rsid w:val="64FB113D"/>
    <w:rsid w:val="64FD4EB5"/>
    <w:rsid w:val="650C6EA7"/>
    <w:rsid w:val="651144BD"/>
    <w:rsid w:val="652A1A23"/>
    <w:rsid w:val="652C12F7"/>
    <w:rsid w:val="652E2FEC"/>
    <w:rsid w:val="65362175"/>
    <w:rsid w:val="653A1C66"/>
    <w:rsid w:val="653E3D8F"/>
    <w:rsid w:val="654900FB"/>
    <w:rsid w:val="6549634D"/>
    <w:rsid w:val="654D7A05"/>
    <w:rsid w:val="65501489"/>
    <w:rsid w:val="65586590"/>
    <w:rsid w:val="655F347A"/>
    <w:rsid w:val="656E190F"/>
    <w:rsid w:val="65711400"/>
    <w:rsid w:val="6578453C"/>
    <w:rsid w:val="65856C59"/>
    <w:rsid w:val="65931376"/>
    <w:rsid w:val="65984BDE"/>
    <w:rsid w:val="659B647C"/>
    <w:rsid w:val="659D3FA3"/>
    <w:rsid w:val="65AE7F5E"/>
    <w:rsid w:val="65B31A18"/>
    <w:rsid w:val="65BD4645"/>
    <w:rsid w:val="65D26342"/>
    <w:rsid w:val="65D5373C"/>
    <w:rsid w:val="65DA51F7"/>
    <w:rsid w:val="65F067C8"/>
    <w:rsid w:val="65F80BEB"/>
    <w:rsid w:val="65FF0149"/>
    <w:rsid w:val="661C136B"/>
    <w:rsid w:val="66236B9E"/>
    <w:rsid w:val="662621EA"/>
    <w:rsid w:val="66285F62"/>
    <w:rsid w:val="66456B14"/>
    <w:rsid w:val="66501015"/>
    <w:rsid w:val="66507267"/>
    <w:rsid w:val="665C3E5E"/>
    <w:rsid w:val="665E1984"/>
    <w:rsid w:val="665F56FC"/>
    <w:rsid w:val="66644AC0"/>
    <w:rsid w:val="66680A54"/>
    <w:rsid w:val="66682803"/>
    <w:rsid w:val="666C61E5"/>
    <w:rsid w:val="6672542F"/>
    <w:rsid w:val="66886A01"/>
    <w:rsid w:val="668C4743"/>
    <w:rsid w:val="66933384"/>
    <w:rsid w:val="669B2BD8"/>
    <w:rsid w:val="66A6332B"/>
    <w:rsid w:val="66AA6977"/>
    <w:rsid w:val="66AC6B93"/>
    <w:rsid w:val="66B15F58"/>
    <w:rsid w:val="66B33974"/>
    <w:rsid w:val="66C37A39"/>
    <w:rsid w:val="66C57C55"/>
    <w:rsid w:val="66C814F3"/>
    <w:rsid w:val="66CA0DC7"/>
    <w:rsid w:val="66CD08B8"/>
    <w:rsid w:val="66CD4D5B"/>
    <w:rsid w:val="66D32372"/>
    <w:rsid w:val="66D71736"/>
    <w:rsid w:val="66D954AE"/>
    <w:rsid w:val="66E3632D"/>
    <w:rsid w:val="66E77BCB"/>
    <w:rsid w:val="66F145A6"/>
    <w:rsid w:val="66F810A2"/>
    <w:rsid w:val="66F916AD"/>
    <w:rsid w:val="66FE3167"/>
    <w:rsid w:val="67050051"/>
    <w:rsid w:val="67253DAB"/>
    <w:rsid w:val="6727621A"/>
    <w:rsid w:val="672C3830"/>
    <w:rsid w:val="6732696D"/>
    <w:rsid w:val="67423054"/>
    <w:rsid w:val="67472418"/>
    <w:rsid w:val="67542D87"/>
    <w:rsid w:val="675D7E8D"/>
    <w:rsid w:val="67674868"/>
    <w:rsid w:val="676C00D0"/>
    <w:rsid w:val="67784CC7"/>
    <w:rsid w:val="67957627"/>
    <w:rsid w:val="67AB0BF9"/>
    <w:rsid w:val="67AB6E4B"/>
    <w:rsid w:val="67B0620F"/>
    <w:rsid w:val="67C95523"/>
    <w:rsid w:val="67CB129B"/>
    <w:rsid w:val="67D6379C"/>
    <w:rsid w:val="67D87514"/>
    <w:rsid w:val="67E4410B"/>
    <w:rsid w:val="67E91721"/>
    <w:rsid w:val="680227E3"/>
    <w:rsid w:val="68040309"/>
    <w:rsid w:val="68150768"/>
    <w:rsid w:val="681F5143"/>
    <w:rsid w:val="68232E85"/>
    <w:rsid w:val="68297D70"/>
    <w:rsid w:val="68394457"/>
    <w:rsid w:val="683E7CBF"/>
    <w:rsid w:val="683F3A37"/>
    <w:rsid w:val="68420988"/>
    <w:rsid w:val="684B5F38"/>
    <w:rsid w:val="684E77D6"/>
    <w:rsid w:val="685A261F"/>
    <w:rsid w:val="685F7C35"/>
    <w:rsid w:val="68637725"/>
    <w:rsid w:val="686B482C"/>
    <w:rsid w:val="6874548F"/>
    <w:rsid w:val="687731D1"/>
    <w:rsid w:val="687E455F"/>
    <w:rsid w:val="68866F70"/>
    <w:rsid w:val="688B27D8"/>
    <w:rsid w:val="688E1D41"/>
    <w:rsid w:val="68925915"/>
    <w:rsid w:val="6897117D"/>
    <w:rsid w:val="689E250C"/>
    <w:rsid w:val="68A51AEC"/>
    <w:rsid w:val="68AA0EB0"/>
    <w:rsid w:val="68AA5354"/>
    <w:rsid w:val="68AF64C7"/>
    <w:rsid w:val="68B24209"/>
    <w:rsid w:val="68B83318"/>
    <w:rsid w:val="68BC6E36"/>
    <w:rsid w:val="68C53F3C"/>
    <w:rsid w:val="68CD2DF1"/>
    <w:rsid w:val="68CE0B4C"/>
    <w:rsid w:val="68D93544"/>
    <w:rsid w:val="68E048D2"/>
    <w:rsid w:val="68E63EB3"/>
    <w:rsid w:val="68E769C5"/>
    <w:rsid w:val="69034A64"/>
    <w:rsid w:val="69076303"/>
    <w:rsid w:val="69140A20"/>
    <w:rsid w:val="69166546"/>
    <w:rsid w:val="69252C2D"/>
    <w:rsid w:val="69360996"/>
    <w:rsid w:val="694035C3"/>
    <w:rsid w:val="69531548"/>
    <w:rsid w:val="6953779A"/>
    <w:rsid w:val="695D23C7"/>
    <w:rsid w:val="695E1D5C"/>
    <w:rsid w:val="69605A13"/>
    <w:rsid w:val="696574CD"/>
    <w:rsid w:val="69670B4F"/>
    <w:rsid w:val="69674FF3"/>
    <w:rsid w:val="696848C8"/>
    <w:rsid w:val="696A6892"/>
    <w:rsid w:val="69787200"/>
    <w:rsid w:val="698C6808"/>
    <w:rsid w:val="69912070"/>
    <w:rsid w:val="69A022B3"/>
    <w:rsid w:val="69A2427D"/>
    <w:rsid w:val="69A631D9"/>
    <w:rsid w:val="69A91168"/>
    <w:rsid w:val="69B875FD"/>
    <w:rsid w:val="69E77EE2"/>
    <w:rsid w:val="69FD7706"/>
    <w:rsid w:val="6A266C5C"/>
    <w:rsid w:val="6A2C7814"/>
    <w:rsid w:val="6A301889"/>
    <w:rsid w:val="6A333703"/>
    <w:rsid w:val="6A4E1D0F"/>
    <w:rsid w:val="6A54799D"/>
    <w:rsid w:val="6A773014"/>
    <w:rsid w:val="6A7A6FA8"/>
    <w:rsid w:val="6A7C4ACE"/>
    <w:rsid w:val="6A892D47"/>
    <w:rsid w:val="6A8A71EB"/>
    <w:rsid w:val="6A933BC6"/>
    <w:rsid w:val="6AA10091"/>
    <w:rsid w:val="6AA45DD3"/>
    <w:rsid w:val="6AB26742"/>
    <w:rsid w:val="6AC56475"/>
    <w:rsid w:val="6AD06BC8"/>
    <w:rsid w:val="6ADF1441"/>
    <w:rsid w:val="6AEA1BF1"/>
    <w:rsid w:val="6AF40B09"/>
    <w:rsid w:val="6AFB3C45"/>
    <w:rsid w:val="6B00125C"/>
    <w:rsid w:val="6B1271E1"/>
    <w:rsid w:val="6B1B7E43"/>
    <w:rsid w:val="6B1D005F"/>
    <w:rsid w:val="6B2C2051"/>
    <w:rsid w:val="6B2D401B"/>
    <w:rsid w:val="6B4750DC"/>
    <w:rsid w:val="6B4A24D7"/>
    <w:rsid w:val="6B521F17"/>
    <w:rsid w:val="6B581098"/>
    <w:rsid w:val="6B5E2426"/>
    <w:rsid w:val="6B6537B4"/>
    <w:rsid w:val="6B6C68F1"/>
    <w:rsid w:val="6B80414A"/>
    <w:rsid w:val="6B827EC3"/>
    <w:rsid w:val="6B841E8D"/>
    <w:rsid w:val="6B950548"/>
    <w:rsid w:val="6B9B71D6"/>
    <w:rsid w:val="6BA240C1"/>
    <w:rsid w:val="6BAE0CB8"/>
    <w:rsid w:val="6BBB1626"/>
    <w:rsid w:val="6BC26511"/>
    <w:rsid w:val="6BC56001"/>
    <w:rsid w:val="6BD36970"/>
    <w:rsid w:val="6BD526E8"/>
    <w:rsid w:val="6BD727A1"/>
    <w:rsid w:val="6BE26BB3"/>
    <w:rsid w:val="6BF40694"/>
    <w:rsid w:val="6BF5575A"/>
    <w:rsid w:val="6C007039"/>
    <w:rsid w:val="6C1F3963"/>
    <w:rsid w:val="6C223454"/>
    <w:rsid w:val="6C272818"/>
    <w:rsid w:val="6C3118E9"/>
    <w:rsid w:val="6C313697"/>
    <w:rsid w:val="6C417D7E"/>
    <w:rsid w:val="6C427652"/>
    <w:rsid w:val="6C4D6722"/>
    <w:rsid w:val="6C517895"/>
    <w:rsid w:val="6C5555D7"/>
    <w:rsid w:val="6C871509"/>
    <w:rsid w:val="6C891370"/>
    <w:rsid w:val="6C8B0FF9"/>
    <w:rsid w:val="6C8E6D3B"/>
    <w:rsid w:val="6CA34594"/>
    <w:rsid w:val="6CAB3449"/>
    <w:rsid w:val="6CAE2F39"/>
    <w:rsid w:val="6CAF118B"/>
    <w:rsid w:val="6CB22A29"/>
    <w:rsid w:val="6CBE317C"/>
    <w:rsid w:val="6CC14A1B"/>
    <w:rsid w:val="6CDB1F80"/>
    <w:rsid w:val="6CE34991"/>
    <w:rsid w:val="6CF44DF0"/>
    <w:rsid w:val="6CF7668E"/>
    <w:rsid w:val="6CF90658"/>
    <w:rsid w:val="6CFF5543"/>
    <w:rsid w:val="6D0D7C60"/>
    <w:rsid w:val="6D0F1C2A"/>
    <w:rsid w:val="6D1C7EA3"/>
    <w:rsid w:val="6D1E3C1B"/>
    <w:rsid w:val="6D2A0812"/>
    <w:rsid w:val="6D2F407A"/>
    <w:rsid w:val="6D3B47CD"/>
    <w:rsid w:val="6D3E606B"/>
    <w:rsid w:val="6D437B25"/>
    <w:rsid w:val="6D4C4C2C"/>
    <w:rsid w:val="6D567859"/>
    <w:rsid w:val="6D673814"/>
    <w:rsid w:val="6D6F091A"/>
    <w:rsid w:val="6D7101EF"/>
    <w:rsid w:val="6D7D3037"/>
    <w:rsid w:val="6D7E46BA"/>
    <w:rsid w:val="6D8343C6"/>
    <w:rsid w:val="6D855A48"/>
    <w:rsid w:val="6D8C327A"/>
    <w:rsid w:val="6D940381"/>
    <w:rsid w:val="6D9479C7"/>
    <w:rsid w:val="6D967C55"/>
    <w:rsid w:val="6D97577B"/>
    <w:rsid w:val="6DA06D26"/>
    <w:rsid w:val="6DA32372"/>
    <w:rsid w:val="6DAC0B3C"/>
    <w:rsid w:val="6DAD31F1"/>
    <w:rsid w:val="6DBD1686"/>
    <w:rsid w:val="6DBE0F5A"/>
    <w:rsid w:val="6DC01176"/>
    <w:rsid w:val="6DC24EEE"/>
    <w:rsid w:val="6DC522E8"/>
    <w:rsid w:val="6DEC1F6B"/>
    <w:rsid w:val="6DEF55B7"/>
    <w:rsid w:val="6DEF7365"/>
    <w:rsid w:val="6DFB21AE"/>
    <w:rsid w:val="6DFB3F5C"/>
    <w:rsid w:val="6E001573"/>
    <w:rsid w:val="6E02353D"/>
    <w:rsid w:val="6E05302D"/>
    <w:rsid w:val="6E072901"/>
    <w:rsid w:val="6E0E1EE1"/>
    <w:rsid w:val="6E1312A6"/>
    <w:rsid w:val="6E3D4FA4"/>
    <w:rsid w:val="6E3D6323"/>
    <w:rsid w:val="6E4678CD"/>
    <w:rsid w:val="6E533D98"/>
    <w:rsid w:val="6E557B10"/>
    <w:rsid w:val="6E5F44EB"/>
    <w:rsid w:val="6E6164B5"/>
    <w:rsid w:val="6E777A87"/>
    <w:rsid w:val="6E7837FF"/>
    <w:rsid w:val="6E7D2BC3"/>
    <w:rsid w:val="6E930639"/>
    <w:rsid w:val="6E9E14B7"/>
    <w:rsid w:val="6EA44F40"/>
    <w:rsid w:val="6ED24CBD"/>
    <w:rsid w:val="6ED36C87"/>
    <w:rsid w:val="6ED529FF"/>
    <w:rsid w:val="6ED547AD"/>
    <w:rsid w:val="6ED91AEE"/>
    <w:rsid w:val="6EE113A4"/>
    <w:rsid w:val="6EF24C44"/>
    <w:rsid w:val="6EF966EE"/>
    <w:rsid w:val="6EFF5CCE"/>
    <w:rsid w:val="6F046E40"/>
    <w:rsid w:val="6F0D2199"/>
    <w:rsid w:val="6F143527"/>
    <w:rsid w:val="6F2D283B"/>
    <w:rsid w:val="6F3A0AB4"/>
    <w:rsid w:val="6F3E05A4"/>
    <w:rsid w:val="6F4B2CC1"/>
    <w:rsid w:val="6F54601A"/>
    <w:rsid w:val="6F5558EE"/>
    <w:rsid w:val="6F59718C"/>
    <w:rsid w:val="6F5E47A3"/>
    <w:rsid w:val="6F767D3E"/>
    <w:rsid w:val="6F7B5355"/>
    <w:rsid w:val="6F810491"/>
    <w:rsid w:val="6F9C52CB"/>
    <w:rsid w:val="6FA56875"/>
    <w:rsid w:val="6FA75643"/>
    <w:rsid w:val="6FD131C7"/>
    <w:rsid w:val="6FD9207B"/>
    <w:rsid w:val="6FDB4045"/>
    <w:rsid w:val="6FE74798"/>
    <w:rsid w:val="6FEF7AF1"/>
    <w:rsid w:val="6FF26DA9"/>
    <w:rsid w:val="6FF46EB5"/>
    <w:rsid w:val="6FF7420B"/>
    <w:rsid w:val="7004302B"/>
    <w:rsid w:val="702552C0"/>
    <w:rsid w:val="70276891"/>
    <w:rsid w:val="702C2AF3"/>
    <w:rsid w:val="702E686B"/>
    <w:rsid w:val="70425E72"/>
    <w:rsid w:val="704A2F79"/>
    <w:rsid w:val="70587444"/>
    <w:rsid w:val="7064228D"/>
    <w:rsid w:val="707359D8"/>
    <w:rsid w:val="70761FC0"/>
    <w:rsid w:val="707D334E"/>
    <w:rsid w:val="707F3FB5"/>
    <w:rsid w:val="70891CF3"/>
    <w:rsid w:val="709D12FB"/>
    <w:rsid w:val="70A46B2D"/>
    <w:rsid w:val="70A66401"/>
    <w:rsid w:val="70AB3A18"/>
    <w:rsid w:val="70B34FC2"/>
    <w:rsid w:val="70C26FB3"/>
    <w:rsid w:val="70CE7706"/>
    <w:rsid w:val="70D07922"/>
    <w:rsid w:val="70D311C0"/>
    <w:rsid w:val="70D32F6E"/>
    <w:rsid w:val="70DE203F"/>
    <w:rsid w:val="70DF5DB7"/>
    <w:rsid w:val="70EC412D"/>
    <w:rsid w:val="70F03B20"/>
    <w:rsid w:val="70F21646"/>
    <w:rsid w:val="7101188A"/>
    <w:rsid w:val="71066EA0"/>
    <w:rsid w:val="710964B3"/>
    <w:rsid w:val="710F4C54"/>
    <w:rsid w:val="711F7F62"/>
    <w:rsid w:val="71333A0D"/>
    <w:rsid w:val="713A123F"/>
    <w:rsid w:val="7141437C"/>
    <w:rsid w:val="714479C8"/>
    <w:rsid w:val="71566079"/>
    <w:rsid w:val="71612D49"/>
    <w:rsid w:val="71693423"/>
    <w:rsid w:val="71756D0A"/>
    <w:rsid w:val="717604C9"/>
    <w:rsid w:val="717F6C52"/>
    <w:rsid w:val="71864485"/>
    <w:rsid w:val="718801FD"/>
    <w:rsid w:val="71883D59"/>
    <w:rsid w:val="718D75C1"/>
    <w:rsid w:val="718F50E7"/>
    <w:rsid w:val="719135DB"/>
    <w:rsid w:val="719646C8"/>
    <w:rsid w:val="71AA1F21"/>
    <w:rsid w:val="71B7463E"/>
    <w:rsid w:val="71BA7C8A"/>
    <w:rsid w:val="71C07997"/>
    <w:rsid w:val="71C254BD"/>
    <w:rsid w:val="71C31235"/>
    <w:rsid w:val="71C56D5B"/>
    <w:rsid w:val="71CC633B"/>
    <w:rsid w:val="71CF1988"/>
    <w:rsid w:val="71DE606F"/>
    <w:rsid w:val="71E116BB"/>
    <w:rsid w:val="71E511AB"/>
    <w:rsid w:val="71ED1E0E"/>
    <w:rsid w:val="72005FE5"/>
    <w:rsid w:val="72077373"/>
    <w:rsid w:val="720A6E64"/>
    <w:rsid w:val="721D0945"/>
    <w:rsid w:val="722577FA"/>
    <w:rsid w:val="722A3062"/>
    <w:rsid w:val="722F68CA"/>
    <w:rsid w:val="7249173A"/>
    <w:rsid w:val="72587BCF"/>
    <w:rsid w:val="725F475F"/>
    <w:rsid w:val="726F6CC7"/>
    <w:rsid w:val="72750781"/>
    <w:rsid w:val="727F33AE"/>
    <w:rsid w:val="72872262"/>
    <w:rsid w:val="7289422C"/>
    <w:rsid w:val="728F1BF4"/>
    <w:rsid w:val="7295497F"/>
    <w:rsid w:val="729D55E2"/>
    <w:rsid w:val="72A41DF5"/>
    <w:rsid w:val="72A44BC2"/>
    <w:rsid w:val="72AB41A3"/>
    <w:rsid w:val="72AC1CC9"/>
    <w:rsid w:val="72AC3A77"/>
    <w:rsid w:val="72B80E00"/>
    <w:rsid w:val="72BE3EBA"/>
    <w:rsid w:val="72BF37AA"/>
    <w:rsid w:val="72C60FDD"/>
    <w:rsid w:val="72C62D8B"/>
    <w:rsid w:val="72C9287B"/>
    <w:rsid w:val="72CC4119"/>
    <w:rsid w:val="72CC5EC7"/>
    <w:rsid w:val="72CE1C3F"/>
    <w:rsid w:val="72DD478A"/>
    <w:rsid w:val="72E01973"/>
    <w:rsid w:val="72EB0A43"/>
    <w:rsid w:val="72EB27F1"/>
    <w:rsid w:val="72F378F8"/>
    <w:rsid w:val="72FC3E1E"/>
    <w:rsid w:val="73012015"/>
    <w:rsid w:val="7306587D"/>
    <w:rsid w:val="73165394"/>
    <w:rsid w:val="731F06ED"/>
    <w:rsid w:val="732021E1"/>
    <w:rsid w:val="73214465"/>
    <w:rsid w:val="73243F55"/>
    <w:rsid w:val="73326672"/>
    <w:rsid w:val="73337CF4"/>
    <w:rsid w:val="73374E53"/>
    <w:rsid w:val="73397A01"/>
    <w:rsid w:val="73465C7A"/>
    <w:rsid w:val="73566123"/>
    <w:rsid w:val="736D76AA"/>
    <w:rsid w:val="736E4F36"/>
    <w:rsid w:val="736E6F7E"/>
    <w:rsid w:val="73814B47"/>
    <w:rsid w:val="738556A7"/>
    <w:rsid w:val="73877A65"/>
    <w:rsid w:val="738E59B0"/>
    <w:rsid w:val="738F426F"/>
    <w:rsid w:val="738F7621"/>
    <w:rsid w:val="7391614F"/>
    <w:rsid w:val="73922C6D"/>
    <w:rsid w:val="739369E5"/>
    <w:rsid w:val="739A5FC5"/>
    <w:rsid w:val="73A6496A"/>
    <w:rsid w:val="73AA05DB"/>
    <w:rsid w:val="73B26485"/>
    <w:rsid w:val="73B47087"/>
    <w:rsid w:val="73B64A19"/>
    <w:rsid w:val="73BE1EBD"/>
    <w:rsid w:val="73C03C7E"/>
    <w:rsid w:val="73C3376E"/>
    <w:rsid w:val="73CF5C6F"/>
    <w:rsid w:val="73D17C39"/>
    <w:rsid w:val="73D74B24"/>
    <w:rsid w:val="73EF00BF"/>
    <w:rsid w:val="73FE0302"/>
    <w:rsid w:val="740B06A5"/>
    <w:rsid w:val="740D49E9"/>
    <w:rsid w:val="741B228B"/>
    <w:rsid w:val="742A559B"/>
    <w:rsid w:val="742F2BB2"/>
    <w:rsid w:val="742F4960"/>
    <w:rsid w:val="74312486"/>
    <w:rsid w:val="74341F76"/>
    <w:rsid w:val="744321B9"/>
    <w:rsid w:val="744523D5"/>
    <w:rsid w:val="74512B28"/>
    <w:rsid w:val="745A5E80"/>
    <w:rsid w:val="745B7503"/>
    <w:rsid w:val="74793E2D"/>
    <w:rsid w:val="747E467A"/>
    <w:rsid w:val="74822CE1"/>
    <w:rsid w:val="748F53FE"/>
    <w:rsid w:val="74936290"/>
    <w:rsid w:val="74A4534E"/>
    <w:rsid w:val="74A5140C"/>
    <w:rsid w:val="74A52E74"/>
    <w:rsid w:val="74AE7F7A"/>
    <w:rsid w:val="74B35591"/>
    <w:rsid w:val="74B70BEA"/>
    <w:rsid w:val="74C23A26"/>
    <w:rsid w:val="74E41BEE"/>
    <w:rsid w:val="74F040EF"/>
    <w:rsid w:val="74F17E67"/>
    <w:rsid w:val="74F6547D"/>
    <w:rsid w:val="74F82FA3"/>
    <w:rsid w:val="74FD680C"/>
    <w:rsid w:val="7507768A"/>
    <w:rsid w:val="75091655"/>
    <w:rsid w:val="75183646"/>
    <w:rsid w:val="751A116C"/>
    <w:rsid w:val="75232716"/>
    <w:rsid w:val="753C37D8"/>
    <w:rsid w:val="7544443B"/>
    <w:rsid w:val="7548217D"/>
    <w:rsid w:val="75510906"/>
    <w:rsid w:val="75536640"/>
    <w:rsid w:val="755E374E"/>
    <w:rsid w:val="75622B13"/>
    <w:rsid w:val="75695C4F"/>
    <w:rsid w:val="756E14B8"/>
    <w:rsid w:val="756E770A"/>
    <w:rsid w:val="75724F4B"/>
    <w:rsid w:val="75842A89"/>
    <w:rsid w:val="75866801"/>
    <w:rsid w:val="75976C60"/>
    <w:rsid w:val="759E7FEF"/>
    <w:rsid w:val="75A4312B"/>
    <w:rsid w:val="75B55338"/>
    <w:rsid w:val="75C8506C"/>
    <w:rsid w:val="75CD4430"/>
    <w:rsid w:val="75D4756D"/>
    <w:rsid w:val="75D84222"/>
    <w:rsid w:val="75D94B83"/>
    <w:rsid w:val="75E023B5"/>
    <w:rsid w:val="75E55C1E"/>
    <w:rsid w:val="75EF25F8"/>
    <w:rsid w:val="760342F6"/>
    <w:rsid w:val="760F2C9B"/>
    <w:rsid w:val="760F4A49"/>
    <w:rsid w:val="761C7166"/>
    <w:rsid w:val="761E337E"/>
    <w:rsid w:val="76243409"/>
    <w:rsid w:val="762A53DF"/>
    <w:rsid w:val="762F6E99"/>
    <w:rsid w:val="763444AF"/>
    <w:rsid w:val="763B583E"/>
    <w:rsid w:val="76404C02"/>
    <w:rsid w:val="76516E0F"/>
    <w:rsid w:val="76524935"/>
    <w:rsid w:val="76530DD9"/>
    <w:rsid w:val="76634D94"/>
    <w:rsid w:val="76676633"/>
    <w:rsid w:val="76726D86"/>
    <w:rsid w:val="76852F5D"/>
    <w:rsid w:val="769748BC"/>
    <w:rsid w:val="76C21ABB"/>
    <w:rsid w:val="76CC293A"/>
    <w:rsid w:val="76D4359C"/>
    <w:rsid w:val="76E557A9"/>
    <w:rsid w:val="76F7746F"/>
    <w:rsid w:val="770429B9"/>
    <w:rsid w:val="77073972"/>
    <w:rsid w:val="77075720"/>
    <w:rsid w:val="770863A3"/>
    <w:rsid w:val="771147F0"/>
    <w:rsid w:val="771340C5"/>
    <w:rsid w:val="771609A6"/>
    <w:rsid w:val="773504DF"/>
    <w:rsid w:val="77377BCD"/>
    <w:rsid w:val="774150D6"/>
    <w:rsid w:val="775070C7"/>
    <w:rsid w:val="77534E09"/>
    <w:rsid w:val="775546DD"/>
    <w:rsid w:val="776D5ECB"/>
    <w:rsid w:val="777234E1"/>
    <w:rsid w:val="77723F1A"/>
    <w:rsid w:val="777A05E8"/>
    <w:rsid w:val="777F548B"/>
    <w:rsid w:val="77A64F39"/>
    <w:rsid w:val="77A94A29"/>
    <w:rsid w:val="77BA6C36"/>
    <w:rsid w:val="77C96E79"/>
    <w:rsid w:val="77CE4490"/>
    <w:rsid w:val="77D73344"/>
    <w:rsid w:val="77E872FF"/>
    <w:rsid w:val="77EE068E"/>
    <w:rsid w:val="77FA7033"/>
    <w:rsid w:val="77FE6B23"/>
    <w:rsid w:val="780E2ADE"/>
    <w:rsid w:val="78153E6C"/>
    <w:rsid w:val="781A1483"/>
    <w:rsid w:val="781B5927"/>
    <w:rsid w:val="781E5417"/>
    <w:rsid w:val="78216CB5"/>
    <w:rsid w:val="78343343"/>
    <w:rsid w:val="783E33C3"/>
    <w:rsid w:val="78412EB3"/>
    <w:rsid w:val="78414C61"/>
    <w:rsid w:val="784A7FBA"/>
    <w:rsid w:val="788D434B"/>
    <w:rsid w:val="78911745"/>
    <w:rsid w:val="78941235"/>
    <w:rsid w:val="78947487"/>
    <w:rsid w:val="789F5CA1"/>
    <w:rsid w:val="78A51694"/>
    <w:rsid w:val="78AE679B"/>
    <w:rsid w:val="78B10039"/>
    <w:rsid w:val="78B638A1"/>
    <w:rsid w:val="78BD69DE"/>
    <w:rsid w:val="78C31B1A"/>
    <w:rsid w:val="78D36201"/>
    <w:rsid w:val="78E57CE3"/>
    <w:rsid w:val="78EC1071"/>
    <w:rsid w:val="78F21A0A"/>
    <w:rsid w:val="78F63C9E"/>
    <w:rsid w:val="78FF0DA4"/>
    <w:rsid w:val="790A599B"/>
    <w:rsid w:val="79206F6D"/>
    <w:rsid w:val="79256331"/>
    <w:rsid w:val="795E5322"/>
    <w:rsid w:val="796A1ED9"/>
    <w:rsid w:val="797352EE"/>
    <w:rsid w:val="79780B57"/>
    <w:rsid w:val="79823784"/>
    <w:rsid w:val="7984473D"/>
    <w:rsid w:val="798E2128"/>
    <w:rsid w:val="799B04D7"/>
    <w:rsid w:val="79B0209F"/>
    <w:rsid w:val="79BA2F1D"/>
    <w:rsid w:val="79BF0534"/>
    <w:rsid w:val="79C478F8"/>
    <w:rsid w:val="79D815F5"/>
    <w:rsid w:val="79DA35C0"/>
    <w:rsid w:val="79E3243F"/>
    <w:rsid w:val="79EE0E19"/>
    <w:rsid w:val="79F521A7"/>
    <w:rsid w:val="79FE105C"/>
    <w:rsid w:val="7A06774A"/>
    <w:rsid w:val="7A0B19CB"/>
    <w:rsid w:val="7A0B5527"/>
    <w:rsid w:val="7A214D4A"/>
    <w:rsid w:val="7A304F8E"/>
    <w:rsid w:val="7A3A5E0C"/>
    <w:rsid w:val="7A434CC1"/>
    <w:rsid w:val="7A4F7B0A"/>
    <w:rsid w:val="7A545120"/>
    <w:rsid w:val="7A747570"/>
    <w:rsid w:val="7A7C01D3"/>
    <w:rsid w:val="7A7C4677"/>
    <w:rsid w:val="7A910E36"/>
    <w:rsid w:val="7A965738"/>
    <w:rsid w:val="7A996FD7"/>
    <w:rsid w:val="7AA52248"/>
    <w:rsid w:val="7AA64579"/>
    <w:rsid w:val="7AC06311"/>
    <w:rsid w:val="7AC676A0"/>
    <w:rsid w:val="7ACA3634"/>
    <w:rsid w:val="7ACD0A2E"/>
    <w:rsid w:val="7AD41DBD"/>
    <w:rsid w:val="7AD5054B"/>
    <w:rsid w:val="7AD61FD9"/>
    <w:rsid w:val="7AE069B4"/>
    <w:rsid w:val="7AE2097E"/>
    <w:rsid w:val="7AE71AF0"/>
    <w:rsid w:val="7B0E3521"/>
    <w:rsid w:val="7B0F54EB"/>
    <w:rsid w:val="7B1623D5"/>
    <w:rsid w:val="7B29035B"/>
    <w:rsid w:val="7B2F3497"/>
    <w:rsid w:val="7B310FBD"/>
    <w:rsid w:val="7B3B62E0"/>
    <w:rsid w:val="7B486307"/>
    <w:rsid w:val="7B5E00B2"/>
    <w:rsid w:val="7B62386D"/>
    <w:rsid w:val="7B65510B"/>
    <w:rsid w:val="7B705F89"/>
    <w:rsid w:val="7B737828"/>
    <w:rsid w:val="7B7A6E08"/>
    <w:rsid w:val="7B7B492E"/>
    <w:rsid w:val="7BB51BEE"/>
    <w:rsid w:val="7BB73BB8"/>
    <w:rsid w:val="7BD55DED"/>
    <w:rsid w:val="7BDA78A7"/>
    <w:rsid w:val="7BEB3862"/>
    <w:rsid w:val="7BF22E42"/>
    <w:rsid w:val="7BFA3AA5"/>
    <w:rsid w:val="7BFC4C19"/>
    <w:rsid w:val="7BFF1417"/>
    <w:rsid w:val="7C030BAC"/>
    <w:rsid w:val="7C0B3F04"/>
    <w:rsid w:val="7C0D1A2A"/>
    <w:rsid w:val="7C1E3C37"/>
    <w:rsid w:val="7C2C75F4"/>
    <w:rsid w:val="7C303582"/>
    <w:rsid w:val="7C354ADD"/>
    <w:rsid w:val="7C3E7E36"/>
    <w:rsid w:val="7C444D20"/>
    <w:rsid w:val="7C482A62"/>
    <w:rsid w:val="7C494775"/>
    <w:rsid w:val="7C4C062E"/>
    <w:rsid w:val="7C60616F"/>
    <w:rsid w:val="7C6B04FF"/>
    <w:rsid w:val="7C8021FC"/>
    <w:rsid w:val="7C885555"/>
    <w:rsid w:val="7C8B6DF3"/>
    <w:rsid w:val="7C8D2B6B"/>
    <w:rsid w:val="7C954AFC"/>
    <w:rsid w:val="7C9E4F0A"/>
    <w:rsid w:val="7CA12173"/>
    <w:rsid w:val="7CA51C63"/>
    <w:rsid w:val="7CB225D2"/>
    <w:rsid w:val="7CB93960"/>
    <w:rsid w:val="7CC61BD9"/>
    <w:rsid w:val="7CE24C65"/>
    <w:rsid w:val="7CE85FF3"/>
    <w:rsid w:val="7CF130FA"/>
    <w:rsid w:val="7D133070"/>
    <w:rsid w:val="7D225061"/>
    <w:rsid w:val="7D341239"/>
    <w:rsid w:val="7D3905FD"/>
    <w:rsid w:val="7D464438"/>
    <w:rsid w:val="7D494CE4"/>
    <w:rsid w:val="7D5B4A17"/>
    <w:rsid w:val="7D5C75D6"/>
    <w:rsid w:val="7D621902"/>
    <w:rsid w:val="7D657644"/>
    <w:rsid w:val="7D761851"/>
    <w:rsid w:val="7D7A30EF"/>
    <w:rsid w:val="7D8E0949"/>
    <w:rsid w:val="7D957F29"/>
    <w:rsid w:val="7DBF4FA6"/>
    <w:rsid w:val="7DC12ACC"/>
    <w:rsid w:val="7DCA74A7"/>
    <w:rsid w:val="7DCD791A"/>
    <w:rsid w:val="7DD00F61"/>
    <w:rsid w:val="7DD30A52"/>
    <w:rsid w:val="7DD55E38"/>
    <w:rsid w:val="7DDD367E"/>
    <w:rsid w:val="7DDD71DA"/>
    <w:rsid w:val="7DE83ADF"/>
    <w:rsid w:val="7DE92023"/>
    <w:rsid w:val="7DE93DD1"/>
    <w:rsid w:val="7DF2712A"/>
    <w:rsid w:val="7DF52776"/>
    <w:rsid w:val="7DF82266"/>
    <w:rsid w:val="7DFD162B"/>
    <w:rsid w:val="7E046E5D"/>
    <w:rsid w:val="7E062BD5"/>
    <w:rsid w:val="7E0806FB"/>
    <w:rsid w:val="7E0B3D48"/>
    <w:rsid w:val="7E0E3838"/>
    <w:rsid w:val="7E1D3A7B"/>
    <w:rsid w:val="7E235535"/>
    <w:rsid w:val="7E307C52"/>
    <w:rsid w:val="7E3C0897"/>
    <w:rsid w:val="7E486D4A"/>
    <w:rsid w:val="7E525E1A"/>
    <w:rsid w:val="7E553215"/>
    <w:rsid w:val="7E631DD5"/>
    <w:rsid w:val="7E7713DD"/>
    <w:rsid w:val="7E795155"/>
    <w:rsid w:val="7EA5419C"/>
    <w:rsid w:val="7EAA7A04"/>
    <w:rsid w:val="7EAF0B77"/>
    <w:rsid w:val="7EB048EF"/>
    <w:rsid w:val="7EBC7738"/>
    <w:rsid w:val="7EBE525E"/>
    <w:rsid w:val="7EC42148"/>
    <w:rsid w:val="7EC446FA"/>
    <w:rsid w:val="7ED20D09"/>
    <w:rsid w:val="7ED76320"/>
    <w:rsid w:val="7ED92098"/>
    <w:rsid w:val="7EDB297B"/>
    <w:rsid w:val="7EDE76F8"/>
    <w:rsid w:val="7EE352BF"/>
    <w:rsid w:val="7EEB5927"/>
    <w:rsid w:val="7EF42A2E"/>
    <w:rsid w:val="7EF56735"/>
    <w:rsid w:val="7EF61F5F"/>
    <w:rsid w:val="7F08472B"/>
    <w:rsid w:val="7F1135E0"/>
    <w:rsid w:val="7F1255AA"/>
    <w:rsid w:val="7F1906E6"/>
    <w:rsid w:val="7F2C52E8"/>
    <w:rsid w:val="7F3D2627"/>
    <w:rsid w:val="7F3E014D"/>
    <w:rsid w:val="7F5160D2"/>
    <w:rsid w:val="7F531E4A"/>
    <w:rsid w:val="7F54171E"/>
    <w:rsid w:val="7F5434CC"/>
    <w:rsid w:val="7F58120E"/>
    <w:rsid w:val="7F645E05"/>
    <w:rsid w:val="7F6851CA"/>
    <w:rsid w:val="7F6F0306"/>
    <w:rsid w:val="7F853FCE"/>
    <w:rsid w:val="7FA51F7A"/>
    <w:rsid w:val="7FB6091C"/>
    <w:rsid w:val="7FB65F35"/>
    <w:rsid w:val="7FBE4DEA"/>
    <w:rsid w:val="7FBF128D"/>
    <w:rsid w:val="7FBF303C"/>
    <w:rsid w:val="7FC40652"/>
    <w:rsid w:val="7FD64829"/>
    <w:rsid w:val="7FE26D2A"/>
    <w:rsid w:val="7FE74340"/>
    <w:rsid w:val="7FF62498"/>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9"/>
    <w:pPr>
      <w:keepNext/>
      <w:keepLines/>
      <w:spacing w:before="260" w:after="260" w:line="416" w:lineRule="auto"/>
      <w:outlineLvl w:val="2"/>
    </w:pPr>
    <w:rPr>
      <w:b/>
      <w:bCs/>
      <w:sz w:val="32"/>
      <w:szCs w:val="32"/>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lang w:val="zh-CN"/>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3"/>
    <w:unhideWhenUsed/>
    <w:qFormat/>
    <w:uiPriority w:val="0"/>
    <w:pPr>
      <w:adjustRightInd w:val="0"/>
      <w:spacing w:line="360" w:lineRule="atLeast"/>
      <w:ind w:firstLine="482"/>
    </w:pPr>
    <w:rPr>
      <w:sz w:val="24"/>
      <w:szCs w:val="24"/>
    </w:rPr>
  </w:style>
  <w:style w:type="paragraph" w:styleId="7">
    <w:name w:val="Document Map"/>
    <w:basedOn w:val="1"/>
    <w:link w:val="34"/>
    <w:unhideWhenUsed/>
    <w:qFormat/>
    <w:uiPriority w:val="99"/>
    <w:rPr>
      <w:rFonts w:ascii="宋体"/>
      <w:sz w:val="18"/>
      <w:szCs w:val="18"/>
    </w:rPr>
  </w:style>
  <w:style w:type="paragraph" w:styleId="8">
    <w:name w:val="annotation text"/>
    <w:basedOn w:val="1"/>
    <w:link w:val="35"/>
    <w:unhideWhenUsed/>
    <w:qFormat/>
    <w:uiPriority w:val="99"/>
    <w:pPr>
      <w:jc w:val="left"/>
    </w:pPr>
  </w:style>
  <w:style w:type="paragraph" w:styleId="9">
    <w:name w:val="Body Text"/>
    <w:basedOn w:val="1"/>
    <w:next w:val="10"/>
    <w:link w:val="36"/>
    <w:unhideWhenUsed/>
    <w:qFormat/>
    <w:uiPriority w:val="99"/>
    <w:rPr>
      <w:sz w:val="28"/>
    </w:rPr>
  </w:style>
  <w:style w:type="paragraph" w:customStyle="1" w:styleId="10">
    <w:name w:val="Default"/>
    <w:qFormat/>
    <w:uiPriority w:val="0"/>
    <w:pPr>
      <w:widowControl w:val="0"/>
      <w:autoSpaceDE w:val="0"/>
      <w:autoSpaceDN w:val="0"/>
      <w:adjustRightInd w:val="0"/>
    </w:pPr>
    <w:rPr>
      <w:rFonts w:ascii="Arial,Bold" w:hAnsi="Arial,Bold" w:eastAsia="PMingLiU" w:cs="Times New Roman"/>
      <w:lang w:val="en-US" w:eastAsia="en-US" w:bidi="ar-SA"/>
    </w:rPr>
  </w:style>
  <w:style w:type="paragraph" w:styleId="11">
    <w:name w:val="Body Text Indent"/>
    <w:basedOn w:val="1"/>
    <w:next w:val="12"/>
    <w:link w:val="30"/>
    <w:qFormat/>
    <w:uiPriority w:val="0"/>
    <w:pPr>
      <w:spacing w:after="120"/>
      <w:ind w:left="420" w:leftChars="200"/>
    </w:pPr>
    <w:rPr>
      <w:szCs w:val="24"/>
    </w:rPr>
  </w:style>
  <w:style w:type="paragraph" w:styleId="12">
    <w:name w:val="envelope return"/>
    <w:basedOn w:val="1"/>
    <w:qFormat/>
    <w:uiPriority w:val="99"/>
    <w:pPr>
      <w:snapToGrid w:val="0"/>
    </w:pPr>
    <w:rPr>
      <w:rFonts w:ascii="Arial" w:hAnsi="Arial"/>
    </w:rPr>
  </w:style>
  <w:style w:type="paragraph" w:styleId="13">
    <w:name w:val="Plain Text"/>
    <w:basedOn w:val="1"/>
    <w:link w:val="37"/>
    <w:unhideWhenUsed/>
    <w:qFormat/>
    <w:uiPriority w:val="99"/>
    <w:rPr>
      <w:rFonts w:ascii="宋体" w:hAnsi="Courier New"/>
    </w:rPr>
  </w:style>
  <w:style w:type="paragraph" w:styleId="14">
    <w:name w:val="Date"/>
    <w:basedOn w:val="1"/>
    <w:next w:val="1"/>
    <w:qFormat/>
    <w:uiPriority w:val="0"/>
    <w:pPr>
      <w:ind w:left="100" w:leftChars="2500"/>
    </w:pPr>
    <w:rPr>
      <w:szCs w:val="24"/>
    </w:rPr>
  </w:style>
  <w:style w:type="paragraph" w:styleId="15">
    <w:name w:val="Balloon Text"/>
    <w:basedOn w:val="1"/>
    <w:link w:val="38"/>
    <w:unhideWhenUsed/>
    <w:qFormat/>
    <w:uiPriority w:val="99"/>
    <w:rPr>
      <w:sz w:val="18"/>
      <w:szCs w:val="18"/>
    </w:rPr>
  </w:style>
  <w:style w:type="paragraph" w:styleId="16">
    <w:name w:val="footer"/>
    <w:basedOn w:val="1"/>
    <w:link w:val="39"/>
    <w:unhideWhenUsed/>
    <w:qFormat/>
    <w:uiPriority w:val="99"/>
    <w:pPr>
      <w:tabs>
        <w:tab w:val="center" w:pos="4153"/>
        <w:tab w:val="right" w:pos="8306"/>
      </w:tabs>
      <w:snapToGrid w:val="0"/>
      <w:jc w:val="left"/>
    </w:pPr>
    <w:rPr>
      <w:sz w:val="18"/>
      <w:szCs w:val="18"/>
    </w:rPr>
  </w:style>
  <w:style w:type="paragraph" w:styleId="17">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0"/>
    <w:pPr>
      <w:spacing w:before="120" w:after="120" w:line="576" w:lineRule="auto"/>
      <w:jc w:val="left"/>
    </w:pPr>
    <w:rPr>
      <w:caps/>
      <w:sz w:val="30"/>
      <w:szCs w:val="20"/>
    </w:rPr>
  </w:style>
  <w:style w:type="paragraph" w:styleId="1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20">
    <w:name w:val="annotation subject"/>
    <w:basedOn w:val="8"/>
    <w:next w:val="8"/>
    <w:link w:val="40"/>
    <w:unhideWhenUsed/>
    <w:qFormat/>
    <w:uiPriority w:val="99"/>
    <w:rPr>
      <w:b/>
      <w:bCs/>
    </w:rPr>
  </w:style>
  <w:style w:type="paragraph" w:styleId="21">
    <w:name w:val="Body Text First Indent 2"/>
    <w:basedOn w:val="11"/>
    <w:qFormat/>
    <w:uiPriority w:val="99"/>
    <w:pPr>
      <w:spacing w:line="360" w:lineRule="auto"/>
    </w:pPr>
    <w:rPr>
      <w:kern w:val="0"/>
      <w:sz w:val="20"/>
      <w:szCs w:val="20"/>
    </w:rPr>
  </w:style>
  <w:style w:type="table" w:styleId="23">
    <w:name w:val="Table Grid"/>
    <w:basedOn w:val="2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b/>
      <w:bCs/>
    </w:rPr>
  </w:style>
  <w:style w:type="character" w:styleId="26">
    <w:name w:val="page number"/>
    <w:basedOn w:val="24"/>
    <w:autoRedefine/>
    <w:unhideWhenUsed/>
    <w:qFormat/>
    <w:uiPriority w:val="99"/>
  </w:style>
  <w:style w:type="character" w:styleId="27">
    <w:name w:val="Emphasis"/>
    <w:qFormat/>
    <w:uiPriority w:val="20"/>
  </w:style>
  <w:style w:type="character" w:styleId="28">
    <w:name w:val="Hyperlink"/>
    <w:autoRedefine/>
    <w:qFormat/>
    <w:uiPriority w:val="0"/>
    <w:rPr>
      <w:color w:val="0000FF"/>
      <w:u w:val="single"/>
    </w:rPr>
  </w:style>
  <w:style w:type="character" w:styleId="29">
    <w:name w:val="annotation reference"/>
    <w:autoRedefine/>
    <w:unhideWhenUsed/>
    <w:qFormat/>
    <w:uiPriority w:val="99"/>
    <w:rPr>
      <w:sz w:val="21"/>
      <w:szCs w:val="21"/>
    </w:rPr>
  </w:style>
  <w:style w:type="character" w:customStyle="1" w:styleId="30">
    <w:name w:val="正文文本缩进 Char"/>
    <w:link w:val="11"/>
    <w:autoRedefine/>
    <w:qFormat/>
    <w:uiPriority w:val="0"/>
    <w:rPr>
      <w:kern w:val="2"/>
      <w:sz w:val="21"/>
      <w:szCs w:val="24"/>
    </w:rPr>
  </w:style>
  <w:style w:type="character" w:customStyle="1" w:styleId="31">
    <w:name w:val="标题 1 Char"/>
    <w:link w:val="3"/>
    <w:qFormat/>
    <w:uiPriority w:val="9"/>
    <w:rPr>
      <w:b/>
      <w:bCs/>
      <w:kern w:val="44"/>
      <w:sz w:val="44"/>
      <w:szCs w:val="44"/>
    </w:rPr>
  </w:style>
  <w:style w:type="character" w:customStyle="1" w:styleId="32">
    <w:name w:val="标题 2 Char"/>
    <w:basedOn w:val="24"/>
    <w:link w:val="4"/>
    <w:semiHidden/>
    <w:qFormat/>
    <w:uiPriority w:val="9"/>
    <w:rPr>
      <w:rFonts w:ascii="Cambria" w:hAnsi="Cambria" w:eastAsia="宋体" w:cs="Times New Roman"/>
      <w:b/>
      <w:bCs/>
      <w:kern w:val="2"/>
      <w:sz w:val="32"/>
      <w:szCs w:val="32"/>
    </w:rPr>
  </w:style>
  <w:style w:type="character" w:customStyle="1" w:styleId="33">
    <w:name w:val="正文缩进 Char"/>
    <w:link w:val="6"/>
    <w:qFormat/>
    <w:uiPriority w:val="0"/>
    <w:rPr>
      <w:kern w:val="2"/>
      <w:sz w:val="24"/>
      <w:szCs w:val="24"/>
    </w:rPr>
  </w:style>
  <w:style w:type="character" w:customStyle="1" w:styleId="34">
    <w:name w:val="文档结构图 Char"/>
    <w:link w:val="7"/>
    <w:autoRedefine/>
    <w:semiHidden/>
    <w:qFormat/>
    <w:uiPriority w:val="99"/>
    <w:rPr>
      <w:rFonts w:ascii="宋体"/>
      <w:kern w:val="2"/>
      <w:sz w:val="18"/>
      <w:szCs w:val="18"/>
    </w:rPr>
  </w:style>
  <w:style w:type="character" w:customStyle="1" w:styleId="35">
    <w:name w:val="批注文字 Char"/>
    <w:link w:val="8"/>
    <w:autoRedefine/>
    <w:semiHidden/>
    <w:qFormat/>
    <w:uiPriority w:val="99"/>
    <w:rPr>
      <w:kern w:val="2"/>
      <w:sz w:val="21"/>
    </w:rPr>
  </w:style>
  <w:style w:type="character" w:customStyle="1" w:styleId="36">
    <w:name w:val="正文文本 Char"/>
    <w:link w:val="9"/>
    <w:qFormat/>
    <w:uiPriority w:val="99"/>
    <w:rPr>
      <w:kern w:val="2"/>
      <w:sz w:val="28"/>
    </w:rPr>
  </w:style>
  <w:style w:type="character" w:customStyle="1" w:styleId="37">
    <w:name w:val="纯文本 Char"/>
    <w:link w:val="13"/>
    <w:autoRedefine/>
    <w:qFormat/>
    <w:uiPriority w:val="99"/>
    <w:rPr>
      <w:rFonts w:ascii="宋体" w:hAnsi="Courier New"/>
      <w:kern w:val="2"/>
      <w:sz w:val="21"/>
    </w:rPr>
  </w:style>
  <w:style w:type="character" w:customStyle="1" w:styleId="38">
    <w:name w:val="批注框文本 Char"/>
    <w:link w:val="15"/>
    <w:semiHidden/>
    <w:qFormat/>
    <w:uiPriority w:val="99"/>
    <w:rPr>
      <w:kern w:val="2"/>
      <w:sz w:val="18"/>
      <w:szCs w:val="18"/>
    </w:rPr>
  </w:style>
  <w:style w:type="character" w:customStyle="1" w:styleId="39">
    <w:name w:val="页脚 Char"/>
    <w:link w:val="16"/>
    <w:autoRedefine/>
    <w:qFormat/>
    <w:uiPriority w:val="99"/>
    <w:rPr>
      <w:kern w:val="2"/>
      <w:sz w:val="18"/>
      <w:szCs w:val="18"/>
    </w:rPr>
  </w:style>
  <w:style w:type="character" w:customStyle="1" w:styleId="40">
    <w:name w:val="批注主题 Char"/>
    <w:link w:val="20"/>
    <w:semiHidden/>
    <w:qFormat/>
    <w:uiPriority w:val="99"/>
    <w:rPr>
      <w:b/>
      <w:bCs/>
      <w:kern w:val="2"/>
      <w:sz w:val="21"/>
    </w:rPr>
  </w:style>
  <w:style w:type="character" w:customStyle="1" w:styleId="41">
    <w:name w:val="font01"/>
    <w:qFormat/>
    <w:uiPriority w:val="0"/>
    <w:rPr>
      <w:rFonts w:hint="default" w:ascii="Times New Roman" w:hAnsi="Times New Roman" w:cs="Times New Roman"/>
      <w:color w:val="000000"/>
      <w:sz w:val="22"/>
      <w:szCs w:val="22"/>
      <w:u w:val="none"/>
    </w:rPr>
  </w:style>
  <w:style w:type="character" w:customStyle="1" w:styleId="42">
    <w:name w:val="font41"/>
    <w:autoRedefine/>
    <w:qFormat/>
    <w:uiPriority w:val="0"/>
    <w:rPr>
      <w:rFonts w:hint="default" w:ascii="仿宋_GB2312" w:eastAsia="仿宋_GB2312" w:cs="仿宋_GB2312"/>
      <w:color w:val="000000"/>
      <w:sz w:val="24"/>
      <w:szCs w:val="24"/>
      <w:u w:val="none"/>
    </w:rPr>
  </w:style>
  <w:style w:type="character" w:customStyle="1" w:styleId="43">
    <w:name w:val="font11"/>
    <w:autoRedefine/>
    <w:qFormat/>
    <w:uiPriority w:val="0"/>
    <w:rPr>
      <w:rFonts w:hint="eastAsia" w:ascii="宋体" w:hAnsi="宋体" w:eastAsia="宋体" w:cs="宋体"/>
      <w:color w:val="000000"/>
      <w:sz w:val="22"/>
      <w:szCs w:val="22"/>
      <w:u w:val="none"/>
    </w:rPr>
  </w:style>
  <w:style w:type="character" w:customStyle="1" w:styleId="44">
    <w:name w:val="NormalCharacter"/>
    <w:autoRedefine/>
    <w:qFormat/>
    <w:uiPriority w:val="0"/>
    <w:rPr>
      <w:kern w:val="2"/>
      <w:sz w:val="21"/>
      <w:szCs w:val="21"/>
      <w:lang w:val="en-US" w:eastAsia="zh-CN" w:bidi="ar-SA"/>
    </w:rPr>
  </w:style>
  <w:style w:type="character" w:customStyle="1" w:styleId="45">
    <w:name w:val="Unresolved Mention"/>
    <w:basedOn w:val="24"/>
    <w:unhideWhenUsed/>
    <w:qFormat/>
    <w:uiPriority w:val="99"/>
    <w:rPr>
      <w:color w:val="605E5C"/>
      <w:shd w:val="clear" w:color="auto" w:fill="E1DFDD"/>
    </w:rPr>
  </w:style>
  <w:style w:type="character" w:customStyle="1" w:styleId="46">
    <w:name w:val="二级目录 Char Char Char"/>
    <w:link w:val="47"/>
    <w:qFormat/>
    <w:uiPriority w:val="0"/>
    <w:rPr>
      <w:rFonts w:eastAsia="Times New Roman"/>
      <w:b/>
      <w:kern w:val="2"/>
      <w:sz w:val="30"/>
      <w:szCs w:val="28"/>
      <w:lang w:val="en-US" w:eastAsia="zh-CN" w:bidi="ar-SA"/>
    </w:rPr>
  </w:style>
  <w:style w:type="paragraph" w:customStyle="1" w:styleId="47">
    <w:name w:val="二级目录"/>
    <w:next w:val="1"/>
    <w:link w:val="46"/>
    <w:qFormat/>
    <w:uiPriority w:val="0"/>
    <w:pPr>
      <w:tabs>
        <w:tab w:val="left" w:pos="720"/>
      </w:tabs>
      <w:ind w:left="720" w:hanging="720"/>
      <w:outlineLvl w:val="1"/>
    </w:pPr>
    <w:rPr>
      <w:rFonts w:ascii="Times New Roman" w:hAnsi="Times New Roman" w:eastAsia="Times New Roman" w:cs="Times New Roman"/>
      <w:b/>
      <w:kern w:val="2"/>
      <w:sz w:val="30"/>
      <w:szCs w:val="28"/>
      <w:lang w:val="en-US" w:eastAsia="zh-CN" w:bidi="ar-SA"/>
    </w:rPr>
  </w:style>
  <w:style w:type="character" w:customStyle="1" w:styleId="48">
    <w:name w:val="正文缩进 字符"/>
    <w:qFormat/>
    <w:uiPriority w:val="0"/>
    <w:rPr>
      <w:kern w:val="2"/>
      <w:sz w:val="24"/>
      <w:szCs w:val="24"/>
    </w:rPr>
  </w:style>
  <w:style w:type="character" w:customStyle="1" w:styleId="49">
    <w:name w:val="font31"/>
    <w:qFormat/>
    <w:uiPriority w:val="0"/>
    <w:rPr>
      <w:rFonts w:hint="eastAsia" w:ascii="宋体" w:hAnsi="宋体" w:eastAsia="宋体" w:cs="宋体"/>
      <w:color w:val="000000"/>
      <w:sz w:val="22"/>
      <w:szCs w:val="22"/>
      <w:u w:val="none"/>
    </w:rPr>
  </w:style>
  <w:style w:type="character" w:customStyle="1" w:styleId="50">
    <w:name w:val="纯文本 字符1"/>
    <w:basedOn w:val="24"/>
    <w:qFormat/>
    <w:uiPriority w:val="0"/>
    <w:rPr>
      <w:rFonts w:ascii="宋体" w:hAnsi="Courier New"/>
    </w:rPr>
  </w:style>
  <w:style w:type="character" w:customStyle="1" w:styleId="51">
    <w:name w:val="font21"/>
    <w:qFormat/>
    <w:uiPriority w:val="0"/>
    <w:rPr>
      <w:rFonts w:hint="eastAsia" w:ascii="宋体" w:hAnsi="宋体" w:eastAsia="宋体" w:cs="宋体"/>
      <w:color w:val="FF0000"/>
      <w:sz w:val="22"/>
      <w:szCs w:val="22"/>
      <w:u w:val="none"/>
    </w:rPr>
  </w:style>
  <w:style w:type="paragraph" w:customStyle="1" w:styleId="52">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3">
    <w:name w:val="p15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styleId="54">
    <w:name w:val="List Paragraph"/>
    <w:basedOn w:val="1"/>
    <w:qFormat/>
    <w:uiPriority w:val="34"/>
    <w:pPr>
      <w:ind w:firstLine="420" w:firstLineChars="200"/>
    </w:pPr>
    <w:rPr>
      <w:rFonts w:ascii="Calibri" w:hAnsi="Calibri"/>
      <w:szCs w:val="22"/>
    </w:rPr>
  </w:style>
  <w:style w:type="paragraph" w:customStyle="1" w:styleId="55">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56">
    <w:name w:val="p0"/>
    <w:basedOn w:val="1"/>
    <w:qFormat/>
    <w:uiPriority w:val="0"/>
    <w:pPr>
      <w:widowControl/>
    </w:pPr>
    <w:rPr>
      <w:kern w:val="0"/>
      <w:szCs w:val="21"/>
    </w:rPr>
  </w:style>
  <w:style w:type="paragraph" w:customStyle="1" w:styleId="57">
    <w:name w:val="flType"/>
    <w:basedOn w:val="1"/>
    <w:qFormat/>
    <w:uiPriority w:val="0"/>
    <w:pPr>
      <w:adjustRightInd w:val="0"/>
      <w:spacing w:after="284" w:line="113" w:lineRule="atLeast"/>
      <w:jc w:val="center"/>
    </w:pPr>
    <w:rPr>
      <w:kern w:val="0"/>
      <w:sz w:val="24"/>
    </w:rPr>
  </w:style>
  <w:style w:type="paragraph" w:customStyle="1" w:styleId="58">
    <w:name w:val="Char Char Char Char Char Char Char Char Char Char Char Char Char Char Char Char"/>
    <w:basedOn w:val="1"/>
    <w:autoRedefine/>
    <w:qFormat/>
    <w:uiPriority w:val="0"/>
    <w:pPr>
      <w:widowControl/>
      <w:spacing w:after="160" w:line="240" w:lineRule="exact"/>
      <w:jc w:val="left"/>
    </w:pPr>
  </w:style>
  <w:style w:type="paragraph" w:customStyle="1" w:styleId="59">
    <w:name w:val="纯文本2"/>
    <w:basedOn w:val="1"/>
    <w:autoRedefine/>
    <w:qFormat/>
    <w:uiPriority w:val="0"/>
    <w:rPr>
      <w:rFonts w:ascii="宋体" w:hAnsi="Courier New"/>
      <w:sz w:val="28"/>
    </w:rPr>
  </w:style>
  <w:style w:type="paragraph" w:customStyle="1" w:styleId="60">
    <w:name w:val="修订1"/>
    <w:unhideWhenUsed/>
    <w:qFormat/>
    <w:uiPriority w:val="99"/>
    <w:rPr>
      <w:rFonts w:ascii="Times New Roman" w:hAnsi="Times New Roman" w:eastAsia="宋体" w:cs="Times New Roman"/>
      <w:kern w:val="2"/>
      <w:sz w:val="21"/>
      <w:lang w:val="en-US" w:eastAsia="zh-CN" w:bidi="ar-SA"/>
    </w:rPr>
  </w:style>
  <w:style w:type="paragraph" w:customStyle="1" w:styleId="61">
    <w:name w:val="Char Char Char Char Char Char1 Char Char Char Char Char Char Char Char Char Char Char Char Char"/>
    <w:basedOn w:val="1"/>
    <w:autoRedefine/>
    <w:qFormat/>
    <w:uiPriority w:val="0"/>
  </w:style>
  <w:style w:type="paragraph" w:customStyle="1" w:styleId="62">
    <w:name w:val="一级目录"/>
    <w:next w:val="1"/>
    <w:autoRedefine/>
    <w:qFormat/>
    <w:uiPriority w:val="99"/>
    <w:pPr>
      <w:spacing w:afterLines="100"/>
      <w:jc w:val="center"/>
      <w:outlineLvl w:val="0"/>
    </w:pPr>
    <w:rPr>
      <w:rFonts w:ascii="黑体" w:hAnsi="Times New Roman" w:eastAsia="黑体" w:cs="Times New Roman"/>
      <w:b/>
      <w:kern w:val="2"/>
      <w:sz w:val="44"/>
      <w:szCs w:val="44"/>
      <w:lang w:val="en-US" w:eastAsia="zh-CN" w:bidi="ar-SA"/>
    </w:rPr>
  </w:style>
  <w:style w:type="paragraph" w:customStyle="1" w:styleId="63">
    <w:name w:val="paragraphindent"/>
    <w:basedOn w:val="1"/>
    <w:qFormat/>
    <w:uiPriority w:val="99"/>
    <w:pPr>
      <w:widowControl/>
      <w:spacing w:before="100" w:beforeAutospacing="1" w:after="100" w:afterAutospacing="1"/>
      <w:jc w:val="left"/>
    </w:pPr>
    <w:rPr>
      <w:rFonts w:ascii="宋体" w:hAnsi="宋体" w:cs="宋体"/>
      <w:kern w:val="0"/>
      <w:sz w:val="24"/>
    </w:rPr>
  </w:style>
  <w:style w:type="table" w:customStyle="1" w:styleId="64">
    <w:name w:val="无格式表格 21"/>
    <w:basedOn w:val="22"/>
    <w:autoRedefine/>
    <w:qFormat/>
    <w:uiPriority w:val="42"/>
    <w:tblPr>
      <w:tblBorders>
        <w:top w:val="single" w:color="7E7E7E" w:sz="4" w:space="0"/>
        <w:bottom w:val="single" w:color="7E7E7E" w:sz="4" w:space="0"/>
      </w:tblBorders>
      <w:tblCellMar>
        <w:top w:w="0" w:type="dxa"/>
        <w:left w:w="108" w:type="dxa"/>
        <w:bottom w:w="0" w:type="dxa"/>
        <w:right w:w="108" w:type="dxa"/>
      </w:tblCellMar>
    </w:tblPr>
    <w:tblStylePr w:type="firstRow">
      <w:rPr>
        <w:b/>
        <w:bCs/>
      </w:rPr>
      <w:tcPr>
        <w:tcBorders>
          <w:top w:val="nil"/>
          <w:left w:val="single" w:color="7E7E7E" w:sz="4" w:space="0"/>
          <w:bottom w:val="nil"/>
          <w:right w:val="nil"/>
          <w:insideH w:val="nil"/>
          <w:insideV w:val="nil"/>
          <w:tl2br w:val="nil"/>
          <w:tr2bl w:val="nil"/>
        </w:tcBorders>
      </w:tcPr>
    </w:tblStylePr>
    <w:tblStylePr w:type="lastRow">
      <w:rPr>
        <w:b/>
        <w:bCs/>
      </w:rPr>
      <w:tcPr>
        <w:tcBorders>
          <w:top w:val="single" w:color="7E7E7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single" w:color="7E7E7E" w:sz="4" w:space="0"/>
          <w:right w:val="single" w:color="7E7E7E" w:sz="4" w:space="0"/>
          <w:insideH w:val="nil"/>
          <w:insideV w:val="nil"/>
          <w:tl2br w:val="nil"/>
          <w:tr2bl w:val="nil"/>
        </w:tcBorders>
      </w:tcPr>
    </w:tblStylePr>
    <w:tblStylePr w:type="band2Vert">
      <w:tcPr>
        <w:tcBorders>
          <w:top w:val="nil"/>
          <w:left w:val="nil"/>
          <w:bottom w:val="single" w:color="7E7E7E" w:sz="4" w:space="0"/>
          <w:right w:val="single" w:color="7E7E7E" w:sz="4" w:space="0"/>
          <w:insideH w:val="nil"/>
          <w:insideV w:val="nil"/>
          <w:tl2br w:val="nil"/>
          <w:tr2bl w:val="nil"/>
        </w:tcBorders>
      </w:tcPr>
    </w:tblStylePr>
    <w:tblStylePr w:type="band1Horz">
      <w:tcPr>
        <w:tcBorders>
          <w:top w:val="single" w:color="7E7E7E" w:sz="4" w:space="0"/>
          <w:left w:val="single" w:color="7E7E7E" w:sz="4" w:space="0"/>
          <w:bottom w:val="nil"/>
          <w:right w:val="nil"/>
          <w:insideH w:val="nil"/>
          <w:insideV w:val="nil"/>
          <w:tl2br w:val="nil"/>
          <w:tr2bl w:val="nil"/>
        </w:tcBorders>
      </w:tcPr>
    </w:tblStyle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51</Pages>
  <Words>23689</Words>
  <Characters>24299</Characters>
  <Lines>272</Lines>
  <Paragraphs>76</Paragraphs>
  <TotalTime>8</TotalTime>
  <ScaleCrop>false</ScaleCrop>
  <LinksUpToDate>false</LinksUpToDate>
  <CharactersWithSpaces>25487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2024-05-29T08:57:00Z</dcterms:created>
  <dc:creator>WPS_1645667295</dc:creator>
  <cp:lastModifiedBy>lenovo</cp:lastModifiedBy>
  <cp:lastPrinted>2019-12-03T03:25:00Z</cp:lastPrinted>
  <dcterms:modified xsi:type="dcterms:W3CDTF">2024-11-18T08:28:19Z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CC1243A462144983AE45C3D8703E1886_13</vt:lpwstr>
  </property>
</Properties>
</file>